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38" w:lineRule="exact"/>
      </w:pPr>
      <w:r>
        <w:pict>
          <v:shape id="_x0000_s1026" o:spid="_x0000_s1026" style="position:absolute;left:0pt;margin-left:70.85pt;margin-top:728.05pt;height:0.75pt;width:481.9pt;mso-position-horizontal-relative:page;mso-position-vertical-relative:page;z-index:251659264;mso-width-relative:page;mso-height-relative:page;" filled="f" stroked="t" coordsize="9637,15" o:allowincell="f" path="m0,7l9637,7e">
            <v:fill on="f" focussize="0,0"/>
            <v:stroke color="#000000" miterlimit="10"/>
            <v:imagedata o:title=""/>
            <o:lock v:ext="edit"/>
          </v:shape>
        </w:pict>
      </w:r>
    </w:p>
    <w:p>
      <w:pPr>
        <w:spacing w:line="138" w:lineRule="exact"/>
        <w:sectPr>
          <w:pgSz w:w="11912" w:h="16841"/>
          <w:pgMar w:top="1431" w:right="640" w:bottom="0" w:left="1106" w:header="0" w:footer="0" w:gutter="0"/>
          <w:cols w:equalWidth="0" w:num="1">
            <w:col w:w="10164"/>
          </w:cols>
        </w:sectPr>
      </w:pPr>
    </w:p>
    <w:p>
      <w:pPr>
        <w:pStyle w:val="2"/>
        <w:spacing w:before="191" w:line="395" w:lineRule="exact"/>
        <w:ind w:left="319"/>
        <w:rPr>
          <w:sz w:val="21"/>
          <w:szCs w:val="21"/>
        </w:rPr>
      </w:pPr>
      <w:r>
        <w:rPr>
          <w:rFonts w:ascii="Times New Roman" w:hAnsi="Times New Roman" w:eastAsia="Times New Roman" w:cs="Times New Roman"/>
          <w:spacing w:val="-3"/>
          <w:position w:val="17"/>
          <w:sz w:val="21"/>
          <w:szCs w:val="21"/>
        </w:rPr>
        <w:t>ICS</w:t>
      </w:r>
      <w:r>
        <w:rPr>
          <w:rFonts w:ascii="Times New Roman" w:hAnsi="Times New Roman" w:eastAsia="Times New Roman" w:cs="Times New Roman"/>
          <w:spacing w:val="11"/>
          <w:position w:val="17"/>
          <w:sz w:val="21"/>
          <w:szCs w:val="21"/>
        </w:rPr>
        <w:t xml:space="preserve">  </w:t>
      </w:r>
      <w:r>
        <w:rPr>
          <w:spacing w:val="-3"/>
          <w:position w:val="17"/>
          <w:sz w:val="21"/>
          <w:szCs w:val="21"/>
        </w:rPr>
        <w:t>11.020</w:t>
      </w:r>
    </w:p>
    <w:p>
      <w:pPr>
        <w:pStyle w:val="2"/>
        <w:spacing w:line="183" w:lineRule="auto"/>
        <w:ind w:left="321"/>
        <w:rPr>
          <w:sz w:val="21"/>
          <w:szCs w:val="21"/>
        </w:rPr>
      </w:pPr>
      <w:r>
        <w:rPr>
          <w:spacing w:val="-3"/>
          <w:sz w:val="21"/>
          <w:szCs w:val="21"/>
        </w:rPr>
        <w:t>CCS</w:t>
      </w:r>
      <w:r>
        <w:rPr>
          <w:spacing w:val="9"/>
          <w:sz w:val="21"/>
          <w:szCs w:val="21"/>
        </w:rPr>
        <w:t xml:space="preserve"> </w:t>
      </w:r>
      <w:r>
        <w:rPr>
          <w:spacing w:val="-3"/>
          <w:sz w:val="21"/>
          <w:szCs w:val="21"/>
        </w:rPr>
        <w:t>C</w:t>
      </w:r>
      <w:r>
        <w:rPr>
          <w:spacing w:val="5"/>
          <w:sz w:val="21"/>
          <w:szCs w:val="21"/>
        </w:rPr>
        <w:t xml:space="preserve"> </w:t>
      </w:r>
      <w:r>
        <w:rPr>
          <w:spacing w:val="-3"/>
          <w:sz w:val="21"/>
          <w:szCs w:val="21"/>
        </w:rPr>
        <w:t>05</w:t>
      </w:r>
    </w:p>
    <w:p>
      <w:pPr>
        <w:pStyle w:val="2"/>
        <w:spacing w:before="128" w:line="222" w:lineRule="auto"/>
        <w:ind w:left="847"/>
        <w:rPr>
          <w:sz w:val="96"/>
          <w:szCs w:val="96"/>
        </w:rPr>
      </w:pPr>
      <w:r>
        <w:rPr>
          <w:sz w:val="96"/>
          <w:szCs w:val="96"/>
        </w:rPr>
        <w:t>团</w:t>
      </w:r>
    </w:p>
    <w:p>
      <w:pPr>
        <w:spacing w:line="14" w:lineRule="auto"/>
        <w:rPr>
          <w:rFonts w:ascii="Arial"/>
          <w:sz w:val="2"/>
        </w:rPr>
      </w:pPr>
      <w:r>
        <w:rPr>
          <w:rFonts w:ascii="Arial" w:hAnsi="Arial" w:eastAsia="Arial" w:cs="Arial"/>
          <w:sz w:val="2"/>
          <w:szCs w:val="2"/>
        </w:rPr>
        <w:br w:type="column"/>
      </w:r>
    </w:p>
    <w:p>
      <w:pPr>
        <w:spacing w:line="302" w:lineRule="auto"/>
        <w:rPr>
          <w:rFonts w:ascii="Arial"/>
          <w:sz w:val="21"/>
        </w:rPr>
      </w:pPr>
    </w:p>
    <w:p>
      <w:pPr>
        <w:spacing w:line="303" w:lineRule="auto"/>
        <w:rPr>
          <w:rFonts w:ascii="Arial"/>
          <w:sz w:val="21"/>
        </w:rPr>
      </w:pPr>
    </w:p>
    <w:p>
      <w:pPr>
        <w:pStyle w:val="2"/>
        <w:spacing w:before="312" w:line="222" w:lineRule="auto"/>
        <w:rPr>
          <w:sz w:val="96"/>
          <w:szCs w:val="96"/>
        </w:rPr>
      </w:pPr>
      <w:r>
        <w:rPr>
          <w:spacing w:val="-17"/>
          <w:sz w:val="96"/>
          <w:szCs w:val="96"/>
        </w:rPr>
        <w:t>体</w:t>
      </w:r>
      <w:r>
        <w:rPr>
          <w:spacing w:val="69"/>
          <w:sz w:val="96"/>
          <w:szCs w:val="96"/>
        </w:rPr>
        <w:t xml:space="preserve">   </w:t>
      </w:r>
      <w:r>
        <w:rPr>
          <w:spacing w:val="-17"/>
          <w:sz w:val="96"/>
          <w:szCs w:val="96"/>
        </w:rPr>
        <w:t>标</w:t>
      </w:r>
    </w:p>
    <w:p>
      <w:pPr>
        <w:spacing w:line="14" w:lineRule="auto"/>
        <w:rPr>
          <w:rFonts w:ascii="Arial"/>
          <w:sz w:val="2"/>
        </w:rPr>
      </w:pPr>
      <w:r>
        <w:rPr>
          <w:rFonts w:ascii="Arial" w:hAnsi="Arial" w:eastAsia="Arial" w:cs="Arial"/>
          <w:sz w:val="2"/>
          <w:szCs w:val="2"/>
        </w:rPr>
        <w:br w:type="column"/>
      </w:r>
    </w:p>
    <w:p>
      <w:pPr>
        <w:spacing w:line="302" w:lineRule="auto"/>
        <w:rPr>
          <w:rFonts w:ascii="Arial"/>
          <w:sz w:val="21"/>
        </w:rPr>
      </w:pPr>
    </w:p>
    <w:p>
      <w:pPr>
        <w:spacing w:line="302" w:lineRule="auto"/>
        <w:rPr>
          <w:rFonts w:ascii="Arial"/>
          <w:sz w:val="21"/>
        </w:rPr>
      </w:pPr>
    </w:p>
    <w:p>
      <w:pPr>
        <w:pStyle w:val="2"/>
        <w:spacing w:before="312" w:line="217" w:lineRule="auto"/>
        <w:ind w:left="1035"/>
        <w:outlineLvl w:val="0"/>
        <w:rPr>
          <w:sz w:val="96"/>
          <w:szCs w:val="96"/>
        </w:rPr>
      </w:pPr>
      <w:bookmarkStart w:id="0" w:name="_Toc19481"/>
      <w:r>
        <w:rPr>
          <w:sz w:val="96"/>
          <w:szCs w:val="96"/>
        </w:rPr>
        <w:t>准</w:t>
      </w:r>
      <w:bookmarkEnd w:id="0"/>
    </w:p>
    <w:p>
      <w:pPr>
        <w:pStyle w:val="2"/>
        <w:spacing w:line="185" w:lineRule="auto"/>
      </w:pPr>
      <w:r>
        <w:rPr>
          <w:rFonts w:ascii="Times New Roman" w:hAnsi="Times New Roman" w:eastAsia="Times New Roman" w:cs="Times New Roman"/>
          <w:spacing w:val="-2"/>
        </w:rPr>
        <w:t>T</w:t>
      </w:r>
      <w:r>
        <w:rPr>
          <w:spacing w:val="-2"/>
        </w:rPr>
        <w:t>/ CEMA</w:t>
      </w:r>
      <w:r>
        <w:rPr>
          <w:spacing w:val="22"/>
        </w:rPr>
        <w:t xml:space="preserve"> </w:t>
      </w:r>
      <w:r>
        <w:rPr>
          <w:spacing w:val="-2"/>
        </w:rPr>
        <w:t>00*-2024</w:t>
      </w:r>
    </w:p>
    <w:p>
      <w:pPr>
        <w:spacing w:line="185" w:lineRule="auto"/>
        <w:sectPr>
          <w:type w:val="continuous"/>
          <w:pgSz w:w="11912" w:h="16841"/>
          <w:pgMar w:top="1431" w:right="640" w:bottom="0" w:left="1106" w:header="0" w:footer="0" w:gutter="0"/>
          <w:cols w:equalWidth="0" w:num="3">
            <w:col w:w="3278" w:space="100"/>
            <w:col w:w="4052" w:space="100"/>
            <w:col w:w="2635"/>
          </w:cols>
        </w:sect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2"/>
        <w:spacing w:before="169" w:line="229" w:lineRule="auto"/>
        <w:ind w:left="1727" w:right="1926" w:hanging="253"/>
        <w:outlineLvl w:val="0"/>
        <w:rPr>
          <w:sz w:val="52"/>
          <w:szCs w:val="52"/>
        </w:rPr>
      </w:pPr>
      <w:bookmarkStart w:id="1" w:name="_Toc27985"/>
      <w:r>
        <w:rPr>
          <w:sz w:val="52"/>
          <w:szCs w:val="52"/>
          <w14:textOutline w14:w="9448" w14:cap="flat" w14:cmpd="sng">
            <w14:solidFill>
              <w14:srgbClr w14:val="000000"/>
            </w14:solidFill>
            <w14:prstDash w14:val="solid"/>
            <w14:miter w14:val="10"/>
          </w14:textOutline>
        </w:rPr>
        <w:t>密集型银质针疗法治疗退变性</w:t>
      </w:r>
      <w:r>
        <w:rPr>
          <w:spacing w:val="1"/>
          <w:sz w:val="52"/>
          <w:szCs w:val="52"/>
        </w:rPr>
        <w:t xml:space="preserve"> </w:t>
      </w:r>
      <w:r>
        <w:rPr>
          <w:sz w:val="52"/>
          <w:szCs w:val="52"/>
          <w14:textOutline w14:w="9448" w14:cap="flat" w14:cmpd="sng">
            <w14:solidFill>
              <w14:srgbClr w14:val="000000"/>
            </w14:solidFill>
            <w14:prstDash w14:val="solid"/>
            <w14:miter w14:val="10"/>
          </w14:textOutline>
        </w:rPr>
        <w:t>腰椎管狭窄症技术操作规范</w:t>
      </w:r>
      <w:bookmarkEnd w:id="1"/>
    </w:p>
    <w:p>
      <w:pPr>
        <w:spacing w:before="38" w:line="192" w:lineRule="auto"/>
        <w:ind w:left="1607"/>
        <w:rPr>
          <w:rFonts w:ascii="Times New Roman" w:hAnsi="Times New Roman" w:eastAsia="Times New Roman" w:cs="Times New Roman"/>
          <w:sz w:val="24"/>
          <w:szCs w:val="24"/>
        </w:rPr>
      </w:pPr>
      <w:r>
        <w:rPr>
          <w:rFonts w:ascii="Times New Roman" w:hAnsi="Times New Roman" w:eastAsia="Times New Roman" w:cs="Times New Roman"/>
          <w:sz w:val="24"/>
          <w:szCs w:val="24"/>
        </w:rPr>
        <w:t>The Technical Operation</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z w:val="24"/>
          <w:szCs w:val="24"/>
        </w:rPr>
        <w:t>Standa</w:t>
      </w:r>
      <w:r>
        <w:rPr>
          <w:rFonts w:ascii="Times New Roman" w:hAnsi="Times New Roman" w:eastAsia="Times New Roman" w:cs="Times New Roman"/>
          <w:spacing w:val="-1"/>
          <w:sz w:val="24"/>
          <w:szCs w:val="24"/>
        </w:rPr>
        <w:t>rd Of</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pacing w:val="-1"/>
          <w:sz w:val="24"/>
          <w:szCs w:val="24"/>
        </w:rPr>
        <w:t>Dense Silver Needle Therapy</w:t>
      </w:r>
    </w:p>
    <w:p>
      <w:pPr>
        <w:spacing w:before="55" w:line="192" w:lineRule="auto"/>
        <w:ind w:left="2838"/>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For Degenerative Lumbar Spinal</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1"/>
          <w:sz w:val="24"/>
          <w:szCs w:val="24"/>
        </w:rPr>
        <w:t>Stenosis</w:t>
      </w:r>
    </w:p>
    <w:p>
      <w:pPr>
        <w:pStyle w:val="2"/>
        <w:spacing w:before="31" w:line="219" w:lineRule="auto"/>
        <w:ind w:left="3608"/>
        <w:rPr>
          <w:sz w:val="21"/>
          <w:szCs w:val="21"/>
        </w:rPr>
      </w:pPr>
      <w:r>
        <w:rPr>
          <w:spacing w:val="-2"/>
          <w:sz w:val="21"/>
          <w:szCs w:val="21"/>
        </w:rPr>
        <w:t>（稿件类型：征求意见稿）</w:t>
      </w:r>
    </w:p>
    <w:p>
      <w:pPr>
        <w:pStyle w:val="2"/>
        <w:spacing w:before="124" w:line="274" w:lineRule="exact"/>
      </w:pPr>
      <w:r>
        <w:rPr>
          <w:position w:val="-5"/>
        </w:rPr>
        <w:pict>
          <v:shape id="_x0000_s1027" o:spid="_x0000_s1027" o:spt="202" type="#_x0000_t202" style="height:13.7pt;width:484.95pt;" fillcolor="#F5F5F5" filled="t" stroked="f" coordsize="21600,21600">
            <v:path/>
            <v:fill on="t" focussize="0,0"/>
            <v:stroke on="f"/>
            <v:imagedata o:title=""/>
            <o:lock v:ext="edit" aspectratio="f"/>
            <v:textbox inset="0mm,0mm,0mm,0mm">
              <w:txbxContent>
                <w:p>
                  <w:pPr>
                    <w:spacing w:before="32" w:line="219" w:lineRule="auto"/>
                    <w:ind w:left="3059"/>
                    <w:rPr>
                      <w:rFonts w:ascii="黑体" w:hAnsi="黑体" w:eastAsia="黑体" w:cs="黑体"/>
                      <w:sz w:val="21"/>
                      <w:szCs w:val="21"/>
                    </w:rPr>
                  </w:pPr>
                  <w:r>
                    <w:rPr>
                      <w:rFonts w:ascii="黑体" w:hAnsi="黑体" w:eastAsia="黑体" w:cs="黑体"/>
                      <w:spacing w:val="-5"/>
                      <w:sz w:val="21"/>
                      <w:szCs w:val="21"/>
                    </w:rPr>
                    <w:t>（本稿完成时间：2024</w:t>
                  </w:r>
                  <w:r>
                    <w:rPr>
                      <w:rFonts w:ascii="黑体" w:hAnsi="黑体" w:eastAsia="黑体" w:cs="黑体"/>
                      <w:spacing w:val="-38"/>
                      <w:sz w:val="21"/>
                      <w:szCs w:val="21"/>
                    </w:rPr>
                    <w:t xml:space="preserve"> </w:t>
                  </w:r>
                  <w:r>
                    <w:rPr>
                      <w:rFonts w:ascii="黑体" w:hAnsi="黑体" w:eastAsia="黑体" w:cs="黑体"/>
                      <w:spacing w:val="-5"/>
                      <w:sz w:val="21"/>
                      <w:szCs w:val="21"/>
                    </w:rPr>
                    <w:t>年</w:t>
                  </w:r>
                  <w:r>
                    <w:rPr>
                      <w:rFonts w:ascii="黑体" w:hAnsi="黑体" w:eastAsia="黑体" w:cs="黑体"/>
                      <w:spacing w:val="-48"/>
                      <w:sz w:val="21"/>
                      <w:szCs w:val="21"/>
                    </w:rPr>
                    <w:t xml:space="preserve"> </w:t>
                  </w:r>
                  <w:r>
                    <w:rPr>
                      <w:rFonts w:ascii="黑体" w:hAnsi="黑体" w:eastAsia="黑体" w:cs="黑体"/>
                      <w:spacing w:val="-5"/>
                      <w:sz w:val="21"/>
                      <w:szCs w:val="21"/>
                    </w:rPr>
                    <w:t>04</w:t>
                  </w:r>
                  <w:r>
                    <w:rPr>
                      <w:rFonts w:ascii="黑体" w:hAnsi="黑体" w:eastAsia="黑体" w:cs="黑体"/>
                      <w:spacing w:val="-39"/>
                      <w:sz w:val="21"/>
                      <w:szCs w:val="21"/>
                    </w:rPr>
                    <w:t xml:space="preserve"> </w:t>
                  </w:r>
                  <w:r>
                    <w:rPr>
                      <w:rFonts w:ascii="黑体" w:hAnsi="黑体" w:eastAsia="黑体" w:cs="黑体"/>
                      <w:spacing w:val="-5"/>
                      <w:sz w:val="21"/>
                      <w:szCs w:val="21"/>
                    </w:rPr>
                    <w:t>月</w:t>
                  </w:r>
                  <w:r>
                    <w:rPr>
                      <w:rFonts w:ascii="黑体" w:hAnsi="黑体" w:eastAsia="黑体" w:cs="黑体"/>
                      <w:spacing w:val="-45"/>
                      <w:sz w:val="21"/>
                      <w:szCs w:val="21"/>
                    </w:rPr>
                    <w:t xml:space="preserve"> </w:t>
                  </w:r>
                  <w:r>
                    <w:rPr>
                      <w:rFonts w:ascii="黑体" w:hAnsi="黑体" w:eastAsia="黑体" w:cs="黑体"/>
                      <w:spacing w:val="-5"/>
                      <w:sz w:val="21"/>
                      <w:szCs w:val="21"/>
                    </w:rPr>
                    <w:t>21 日）</w:t>
                  </w:r>
                </w:p>
              </w:txbxContent>
            </v:textbox>
            <w10:wrap type="none"/>
            <w10:anchorlock/>
          </v:shape>
        </w:pict>
      </w:r>
    </w:p>
    <w:p>
      <w:pPr>
        <w:spacing w:before="10"/>
      </w:pPr>
    </w:p>
    <w:p>
      <w:pPr>
        <w:spacing w:before="10"/>
      </w:pPr>
    </w:p>
    <w:p>
      <w:pPr>
        <w:spacing w:before="10"/>
      </w:pPr>
    </w:p>
    <w:p>
      <w:pPr>
        <w:spacing w:before="10"/>
      </w:pPr>
    </w:p>
    <w:p>
      <w:pPr>
        <w:spacing w:before="10"/>
      </w:pPr>
    </w:p>
    <w:p>
      <w:pPr>
        <w:spacing w:before="10"/>
      </w:pPr>
    </w:p>
    <w:p>
      <w:pPr>
        <w:spacing w:before="10"/>
      </w:pPr>
    </w:p>
    <w:p>
      <w:pPr>
        <w:spacing w:before="10"/>
      </w:pPr>
    </w:p>
    <w:p>
      <w:pPr>
        <w:spacing w:before="10"/>
      </w:pPr>
    </w:p>
    <w:p>
      <w:pPr>
        <w:spacing w:before="10"/>
      </w:pPr>
    </w:p>
    <w:p>
      <w:pPr>
        <w:spacing w:before="10"/>
      </w:pPr>
    </w:p>
    <w:p>
      <w:pPr>
        <w:spacing w:before="10"/>
      </w:pPr>
    </w:p>
    <w:p>
      <w:pPr>
        <w:spacing w:before="10"/>
      </w:pPr>
    </w:p>
    <w:p>
      <w:pPr>
        <w:spacing w:before="10"/>
      </w:pPr>
    </w:p>
    <w:p>
      <w:pPr>
        <w:spacing w:before="10"/>
      </w:pPr>
    </w:p>
    <w:p>
      <w:pPr>
        <w:spacing w:before="9"/>
      </w:pPr>
    </w:p>
    <w:p>
      <w:pPr>
        <w:spacing w:before="9"/>
      </w:pPr>
    </w:p>
    <w:p>
      <w:pPr>
        <w:spacing w:before="9"/>
      </w:pPr>
    </w:p>
    <w:p>
      <w:pPr>
        <w:spacing w:before="9"/>
      </w:pPr>
    </w:p>
    <w:p>
      <w:pPr>
        <w:spacing w:before="9"/>
      </w:pPr>
    </w:p>
    <w:p>
      <w:pPr>
        <w:sectPr>
          <w:type w:val="continuous"/>
          <w:pgSz w:w="11912" w:h="16841"/>
          <w:pgMar w:top="1431" w:right="640" w:bottom="0" w:left="1106" w:header="0" w:footer="0" w:gutter="0"/>
          <w:cols w:equalWidth="0" w:num="1">
            <w:col w:w="10164"/>
          </w:cols>
        </w:sectPr>
      </w:pPr>
    </w:p>
    <w:p>
      <w:pPr>
        <w:pStyle w:val="2"/>
        <w:spacing w:before="128" w:line="185" w:lineRule="auto"/>
        <w:ind w:left="317"/>
      </w:pPr>
      <w:r>
        <w:rPr>
          <w:rFonts w:ascii="Times New Roman" w:hAnsi="Times New Roman" w:eastAsia="Times New Roman" w:cs="Times New Roman"/>
          <w:spacing w:val="-2"/>
        </w:rPr>
        <w:t xml:space="preserve">2024 </w:t>
      </w:r>
      <w:r>
        <w:rPr>
          <w:spacing w:val="-2"/>
        </w:rPr>
        <w:t>-</w:t>
      </w:r>
      <w:r>
        <w:rPr>
          <w:spacing w:val="-65"/>
        </w:rPr>
        <w:t xml:space="preserve"> </w:t>
      </w:r>
      <w:r>
        <w:rPr>
          <w:spacing w:val="-2"/>
        </w:rPr>
        <w:t>XX</w:t>
      </w:r>
      <w:r>
        <w:rPr>
          <w:spacing w:val="-66"/>
        </w:rPr>
        <w:t xml:space="preserve"> </w:t>
      </w:r>
      <w:r>
        <w:rPr>
          <w:spacing w:val="-2"/>
        </w:rPr>
        <w:t>-</w:t>
      </w:r>
      <w:r>
        <w:rPr>
          <w:spacing w:val="-65"/>
        </w:rPr>
        <w:t xml:space="preserve"> </w:t>
      </w:r>
      <w:r>
        <w:rPr>
          <w:spacing w:val="-2"/>
        </w:rPr>
        <w:t>XX</w:t>
      </w:r>
      <w:r>
        <w:rPr>
          <w:spacing w:val="-56"/>
        </w:rPr>
        <w:t xml:space="preserve"> </w:t>
      </w:r>
      <w:r>
        <w:rPr>
          <w:spacing w:val="-2"/>
        </w:rPr>
        <w:t>发布</w:t>
      </w:r>
    </w:p>
    <w:p>
      <w:pPr>
        <w:spacing w:line="14" w:lineRule="auto"/>
        <w:rPr>
          <w:rFonts w:ascii="Arial"/>
          <w:sz w:val="2"/>
        </w:rPr>
      </w:pPr>
      <w:r>
        <w:rPr>
          <w:rFonts w:ascii="Arial" w:hAnsi="Arial" w:eastAsia="Arial" w:cs="Arial"/>
          <w:sz w:val="2"/>
          <w:szCs w:val="2"/>
        </w:rPr>
        <w:br w:type="column"/>
      </w:r>
    </w:p>
    <w:p>
      <w:pPr>
        <w:pStyle w:val="2"/>
        <w:spacing w:before="55" w:line="219" w:lineRule="auto"/>
        <w:jc w:val="right"/>
      </w:pPr>
      <w:r>
        <w:rPr>
          <w:rFonts w:ascii="Times New Roman" w:hAnsi="Times New Roman" w:eastAsia="Times New Roman" w:cs="Times New Roman"/>
          <w:spacing w:val="-3"/>
        </w:rPr>
        <w:t xml:space="preserve">2024 </w:t>
      </w:r>
      <w:r>
        <w:rPr>
          <w:spacing w:val="-3"/>
        </w:rPr>
        <w:t>-</w:t>
      </w:r>
      <w:r>
        <w:rPr>
          <w:spacing w:val="-63"/>
        </w:rPr>
        <w:t xml:space="preserve"> </w:t>
      </w:r>
      <w:r>
        <w:rPr>
          <w:spacing w:val="-3"/>
        </w:rPr>
        <w:t>XX</w:t>
      </w:r>
      <w:r>
        <w:rPr>
          <w:spacing w:val="-66"/>
        </w:rPr>
        <w:t xml:space="preserve"> </w:t>
      </w:r>
      <w:r>
        <w:rPr>
          <w:spacing w:val="-3"/>
        </w:rPr>
        <w:t>-</w:t>
      </w:r>
      <w:r>
        <w:rPr>
          <w:spacing w:val="-65"/>
        </w:rPr>
        <w:t xml:space="preserve"> </w:t>
      </w:r>
      <w:r>
        <w:rPr>
          <w:spacing w:val="-3"/>
        </w:rPr>
        <w:t>XX</w:t>
      </w:r>
      <w:r>
        <w:rPr>
          <w:spacing w:val="-50"/>
        </w:rPr>
        <w:t xml:space="preserve"> </w:t>
      </w:r>
      <w:r>
        <w:rPr>
          <w:spacing w:val="-3"/>
        </w:rPr>
        <w:t>实施</w:t>
      </w:r>
    </w:p>
    <w:p>
      <w:pPr>
        <w:spacing w:line="219" w:lineRule="auto"/>
        <w:sectPr>
          <w:type w:val="continuous"/>
          <w:pgSz w:w="11912" w:h="16841"/>
          <w:pgMar w:top="1431" w:right="640" w:bottom="0" w:left="1106" w:header="0" w:footer="0" w:gutter="0"/>
          <w:cols w:equalWidth="0" w:num="2">
            <w:col w:w="7756" w:space="100"/>
            <w:col w:w="2309"/>
          </w:cols>
        </w:sectPr>
      </w:pPr>
    </w:p>
    <w:p>
      <w:pPr>
        <w:pStyle w:val="2"/>
        <w:spacing w:before="305" w:line="190" w:lineRule="auto"/>
        <w:ind w:left="1796"/>
      </w:pPr>
      <w:r>
        <w:rPr>
          <w:spacing w:val="46"/>
          <w:w w:val="118"/>
          <w:sz w:val="31"/>
          <w:szCs w:val="31"/>
        </w:rPr>
        <w:t>中</w:t>
      </w:r>
      <w:r>
        <w:rPr>
          <w:spacing w:val="126"/>
          <w:sz w:val="31"/>
          <w:szCs w:val="31"/>
        </w:rPr>
        <w:t xml:space="preserve"> </w:t>
      </w:r>
      <w:r>
        <w:rPr>
          <w:spacing w:val="46"/>
          <w:w w:val="118"/>
          <w:sz w:val="31"/>
          <w:szCs w:val="31"/>
        </w:rPr>
        <w:t>国</w:t>
      </w:r>
      <w:r>
        <w:rPr>
          <w:spacing w:val="115"/>
          <w:sz w:val="31"/>
          <w:szCs w:val="31"/>
        </w:rPr>
        <w:t xml:space="preserve"> </w:t>
      </w:r>
      <w:r>
        <w:rPr>
          <w:spacing w:val="46"/>
          <w:w w:val="118"/>
          <w:sz w:val="31"/>
          <w:szCs w:val="31"/>
        </w:rPr>
        <w:t>民</w:t>
      </w:r>
      <w:r>
        <w:rPr>
          <w:spacing w:val="88"/>
          <w:sz w:val="31"/>
          <w:szCs w:val="31"/>
        </w:rPr>
        <w:t xml:space="preserve"> </w:t>
      </w:r>
      <w:r>
        <w:rPr>
          <w:spacing w:val="46"/>
          <w:w w:val="118"/>
          <w:sz w:val="31"/>
          <w:szCs w:val="31"/>
        </w:rPr>
        <w:t>族</w:t>
      </w:r>
      <w:r>
        <w:rPr>
          <w:spacing w:val="110"/>
          <w:sz w:val="31"/>
          <w:szCs w:val="31"/>
        </w:rPr>
        <w:t xml:space="preserve"> </w:t>
      </w:r>
      <w:r>
        <w:rPr>
          <w:spacing w:val="46"/>
          <w:w w:val="118"/>
          <w:sz w:val="31"/>
          <w:szCs w:val="31"/>
        </w:rPr>
        <w:t>医</w:t>
      </w:r>
      <w:r>
        <w:rPr>
          <w:spacing w:val="93"/>
          <w:sz w:val="31"/>
          <w:szCs w:val="31"/>
        </w:rPr>
        <w:t xml:space="preserve"> </w:t>
      </w:r>
      <w:r>
        <w:rPr>
          <w:spacing w:val="46"/>
          <w:w w:val="118"/>
          <w:sz w:val="31"/>
          <w:szCs w:val="31"/>
        </w:rPr>
        <w:t>药</w:t>
      </w:r>
      <w:r>
        <w:rPr>
          <w:spacing w:val="89"/>
          <w:sz w:val="31"/>
          <w:szCs w:val="31"/>
        </w:rPr>
        <w:t xml:space="preserve"> </w:t>
      </w:r>
      <w:r>
        <w:rPr>
          <w:spacing w:val="46"/>
          <w:w w:val="118"/>
          <w:sz w:val="31"/>
          <w:szCs w:val="31"/>
        </w:rPr>
        <w:t>协</w:t>
      </w:r>
      <w:r>
        <w:rPr>
          <w:spacing w:val="88"/>
          <w:sz w:val="31"/>
          <w:szCs w:val="31"/>
        </w:rPr>
        <w:t xml:space="preserve"> </w:t>
      </w:r>
      <w:r>
        <w:rPr>
          <w:spacing w:val="46"/>
          <w:w w:val="118"/>
          <w:sz w:val="31"/>
          <w:szCs w:val="31"/>
        </w:rPr>
        <w:t>会</w:t>
      </w:r>
      <w:r>
        <w:rPr>
          <w:spacing w:val="47"/>
          <w:sz w:val="31"/>
          <w:szCs w:val="31"/>
        </w:rPr>
        <w:t xml:space="preserve">   </w:t>
      </w:r>
      <w:r>
        <w:rPr>
          <w:spacing w:val="46"/>
          <w:w w:val="118"/>
        </w:rPr>
        <w:t>发 布</w:t>
      </w:r>
    </w:p>
    <w:p>
      <w:pPr>
        <w:spacing w:line="190" w:lineRule="auto"/>
        <w:sectPr>
          <w:type w:val="continuous"/>
          <w:pgSz w:w="11912" w:h="16841"/>
          <w:pgMar w:top="1431" w:right="640" w:bottom="0" w:left="1106" w:header="0" w:footer="0" w:gutter="0"/>
          <w:cols w:equalWidth="0" w:num="1">
            <w:col w:w="10164"/>
          </w:cols>
        </w:sectPr>
      </w:pPr>
    </w:p>
    <w:p>
      <w:pPr>
        <w:spacing w:line="293" w:lineRule="auto"/>
        <w:rPr>
          <w:rFonts w:ascii="Arial"/>
          <w:sz w:val="21"/>
        </w:rPr>
      </w:pPr>
    </w:p>
    <w:p>
      <w:pPr>
        <w:spacing w:line="294" w:lineRule="auto"/>
        <w:rPr>
          <w:rFonts w:ascii="Arial"/>
          <w:sz w:val="21"/>
        </w:rPr>
      </w:pPr>
    </w:p>
    <w:p>
      <w:pPr>
        <w:spacing w:line="294" w:lineRule="auto"/>
        <w:rPr>
          <w:rFonts w:ascii="Arial"/>
          <w:sz w:val="21"/>
        </w:rPr>
      </w:pPr>
    </w:p>
    <w:p>
      <w:pPr>
        <w:spacing w:line="278" w:lineRule="auto"/>
        <w:rPr>
          <w:rFonts w:ascii="Arial"/>
          <w:sz w:val="21"/>
        </w:rPr>
      </w:pPr>
    </w:p>
    <w:p>
      <w:pPr>
        <w:spacing w:line="279" w:lineRule="auto"/>
        <w:rPr>
          <w:rFonts w:ascii="Arial"/>
          <w:sz w:val="21"/>
        </w:rPr>
      </w:pPr>
    </w:p>
    <w:p>
      <w:pPr>
        <w:spacing w:line="279" w:lineRule="auto"/>
        <w:rPr>
          <w:rFonts w:ascii="Arial"/>
          <w:sz w:val="21"/>
        </w:rPr>
      </w:pPr>
    </w:p>
    <w:sdt>
      <w:sdtPr>
        <w:rPr>
          <w:rFonts w:ascii="宋体" w:hAnsi="宋体" w:eastAsia="宋体" w:cs="Arial"/>
          <w:snapToGrid w:val="0"/>
          <w:color w:val="000000"/>
          <w:kern w:val="0"/>
          <w:sz w:val="28"/>
          <w:szCs w:val="28"/>
          <w:lang w:val="en-US" w:eastAsia="en-US" w:bidi="ar-SA"/>
        </w:rPr>
        <w:id w:val="147466109"/>
        <w15:color w:val="DBDBDB"/>
        <w:docPartObj>
          <w:docPartGallery w:val="Table of Contents"/>
          <w:docPartUnique/>
        </w:docPartObj>
      </w:sdtPr>
      <w:sdtEndPr>
        <w:rPr>
          <w:rFonts w:ascii="Arial" w:hAnsi="Arial" w:eastAsia="Arial" w:cs="Arial"/>
          <w:b/>
          <w:snapToGrid w:val="0"/>
          <w:color w:val="000000"/>
          <w:kern w:val="0"/>
          <w:sz w:val="21"/>
          <w:szCs w:val="21"/>
          <w:lang w:val="en-US" w:eastAsia="en-US" w:bidi="ar-SA"/>
        </w:rPr>
      </w:sdtEndPr>
      <w:sdtContent>
        <w:p>
          <w:pPr>
            <w:spacing w:before="0" w:beforeLines="0" w:after="0" w:afterLines="0" w:line="240" w:lineRule="auto"/>
            <w:ind w:left="0" w:leftChars="0" w:right="0" w:rightChars="0" w:firstLine="0" w:firstLineChars="0"/>
            <w:jc w:val="center"/>
            <w:rPr>
              <w:sz w:val="28"/>
              <w:szCs w:val="28"/>
            </w:rPr>
          </w:pPr>
          <w:bookmarkStart w:id="17" w:name="_GoBack"/>
          <w:bookmarkEnd w:id="17"/>
          <w:r>
            <w:rPr>
              <w:rFonts w:ascii="宋体" w:hAnsi="宋体" w:eastAsia="宋体"/>
              <w:sz w:val="28"/>
              <w:szCs w:val="28"/>
            </w:rPr>
            <w:t>目录</w:t>
          </w:r>
        </w:p>
        <w:p>
          <w:pPr>
            <w:pStyle w:val="7"/>
            <w:tabs>
              <w:tab w:val="right" w:leader="dot" w:pos="9428"/>
            </w:tabs>
            <w:rPr>
              <w:b/>
            </w:rPr>
          </w:pPr>
          <w:r>
            <w:rPr>
              <w:rFonts w:ascii="Arial"/>
              <w:sz w:val="21"/>
            </w:rPr>
            <w:fldChar w:fldCharType="begin"/>
          </w:r>
          <w:r>
            <w:rPr>
              <w:rFonts w:ascii="Arial"/>
              <w:sz w:val="21"/>
            </w:rPr>
            <w:instrText xml:space="preserve">TOC \o "1-2" \h \u </w:instrText>
          </w:r>
          <w:r>
            <w:rPr>
              <w:rFonts w:ascii="Arial"/>
              <w:sz w:val="21"/>
            </w:rPr>
            <w:fldChar w:fldCharType="separate"/>
          </w:r>
        </w:p>
        <w:p>
          <w:pPr>
            <w:pStyle w:val="7"/>
            <w:tabs>
              <w:tab w:val="right" w:leader="dot" w:pos="9428"/>
            </w:tabs>
            <w:rPr>
              <w:rFonts w:hint="default" w:eastAsia="宋体"/>
              <w:b/>
              <w:lang w:val="en-US" w:eastAsia="zh-CN"/>
            </w:rPr>
          </w:pPr>
          <w:r>
            <w:rPr>
              <w:rFonts w:ascii="Arial"/>
              <w:b/>
            </w:rPr>
            <w:fldChar w:fldCharType="begin"/>
          </w:r>
          <w:r>
            <w:rPr>
              <w:rFonts w:ascii="Arial"/>
              <w:b/>
            </w:rPr>
            <w:instrText xml:space="preserve"> HYPERLINK \l _Toc24921 </w:instrText>
          </w:r>
          <w:r>
            <w:rPr>
              <w:rFonts w:ascii="Arial"/>
              <w:b/>
            </w:rPr>
            <w:fldChar w:fldCharType="separate"/>
          </w:r>
          <w:r>
            <w:rPr>
              <w:b/>
              <w:spacing w:val="-2"/>
              <w:szCs w:val="31"/>
            </w:rPr>
            <w:t>前</w:t>
          </w:r>
          <w:r>
            <w:rPr>
              <w:b/>
              <w:spacing w:val="18"/>
              <w:szCs w:val="31"/>
            </w:rPr>
            <w:t xml:space="preserve">  </w:t>
          </w:r>
          <w:r>
            <w:rPr>
              <w:b/>
              <w:spacing w:val="-2"/>
              <w:szCs w:val="31"/>
            </w:rPr>
            <w:t>言</w:t>
          </w:r>
          <w:r>
            <w:rPr>
              <w:b/>
            </w:rPr>
            <w:tab/>
          </w:r>
          <w:r>
            <w:rPr>
              <w:rFonts w:ascii="Arial"/>
              <w:b/>
            </w:rPr>
            <w:fldChar w:fldCharType="end"/>
          </w:r>
          <w:r>
            <w:rPr>
              <w:rFonts w:hint="eastAsia" w:ascii="Arial" w:eastAsia="宋体"/>
              <w:b/>
              <w:lang w:val="en-US" w:eastAsia="zh-CN"/>
            </w:rPr>
            <w:t>II</w:t>
          </w:r>
        </w:p>
        <w:p>
          <w:pPr>
            <w:pStyle w:val="7"/>
            <w:tabs>
              <w:tab w:val="right" w:leader="dot" w:pos="9428"/>
            </w:tabs>
            <w:rPr>
              <w:rFonts w:hint="default" w:eastAsia="宋体"/>
              <w:b/>
              <w:lang w:val="en-US" w:eastAsia="zh-CN"/>
            </w:rPr>
          </w:pPr>
          <w:r>
            <w:rPr>
              <w:rFonts w:ascii="Arial"/>
              <w:b/>
            </w:rPr>
            <w:fldChar w:fldCharType="begin"/>
          </w:r>
          <w:r>
            <w:rPr>
              <w:rFonts w:ascii="Arial"/>
              <w:b/>
            </w:rPr>
            <w:instrText xml:space="preserve"> HYPERLINK \l _Toc20091 </w:instrText>
          </w:r>
          <w:r>
            <w:rPr>
              <w:rFonts w:ascii="Arial"/>
              <w:b/>
            </w:rPr>
            <w:fldChar w:fldCharType="separate"/>
          </w:r>
          <w:r>
            <w:rPr>
              <w:b/>
              <w:spacing w:val="-16"/>
              <w:szCs w:val="31"/>
            </w:rPr>
            <w:t>引</w:t>
          </w:r>
          <w:r>
            <w:rPr>
              <w:b/>
              <w:spacing w:val="18"/>
              <w:szCs w:val="31"/>
            </w:rPr>
            <w:t xml:space="preserve">  </w:t>
          </w:r>
          <w:r>
            <w:rPr>
              <w:b/>
              <w:spacing w:val="-16"/>
              <w:szCs w:val="31"/>
            </w:rPr>
            <w:t>言</w:t>
          </w:r>
          <w:r>
            <w:rPr>
              <w:b/>
            </w:rPr>
            <w:tab/>
          </w:r>
          <w:r>
            <w:rPr>
              <w:rFonts w:hint="eastAsia" w:eastAsia="宋体"/>
              <w:b/>
              <w:lang w:val="en-US" w:eastAsia="zh-CN"/>
            </w:rPr>
            <w:t>I</w:t>
          </w:r>
          <w:r>
            <w:rPr>
              <w:rFonts w:ascii="Arial"/>
              <w:b/>
            </w:rPr>
            <w:fldChar w:fldCharType="end"/>
          </w:r>
          <w:r>
            <w:rPr>
              <w:rFonts w:hint="eastAsia" w:ascii="Arial" w:eastAsia="宋体"/>
              <w:b/>
              <w:lang w:val="en-US" w:eastAsia="zh-CN"/>
            </w:rPr>
            <w:t>II</w:t>
          </w:r>
        </w:p>
        <w:p>
          <w:pPr>
            <w:pStyle w:val="7"/>
            <w:tabs>
              <w:tab w:val="right" w:leader="dot" w:pos="9428"/>
            </w:tabs>
            <w:rPr>
              <w:b/>
            </w:rPr>
          </w:pPr>
          <w:r>
            <w:rPr>
              <w:rFonts w:ascii="Arial"/>
              <w:b/>
            </w:rPr>
            <w:fldChar w:fldCharType="begin"/>
          </w:r>
          <w:r>
            <w:rPr>
              <w:rFonts w:ascii="Arial"/>
              <w:b/>
            </w:rPr>
            <w:instrText xml:space="preserve"> HYPERLINK \l _Toc31606 </w:instrText>
          </w:r>
          <w:r>
            <w:rPr>
              <w:rFonts w:ascii="Arial"/>
              <w:b/>
            </w:rPr>
            <w:fldChar w:fldCharType="separate"/>
          </w:r>
          <w:r>
            <w:rPr>
              <w:b/>
              <w:spacing w:val="-9"/>
              <w:szCs w:val="21"/>
            </w:rPr>
            <w:t>1</w:t>
          </w:r>
          <w:r>
            <w:rPr>
              <w:b/>
              <w:spacing w:val="7"/>
              <w:szCs w:val="21"/>
            </w:rPr>
            <w:t xml:space="preserve">  </w:t>
          </w:r>
          <w:r>
            <w:rPr>
              <w:b/>
              <w:spacing w:val="-9"/>
              <w:szCs w:val="21"/>
            </w:rPr>
            <w:t>范围</w:t>
          </w:r>
          <w:r>
            <w:rPr>
              <w:b/>
            </w:rPr>
            <w:tab/>
          </w:r>
          <w:r>
            <w:rPr>
              <w:b/>
            </w:rPr>
            <w:fldChar w:fldCharType="begin"/>
          </w:r>
          <w:r>
            <w:rPr>
              <w:b/>
            </w:rPr>
            <w:instrText xml:space="preserve"> PAGEREF _Toc31606 \h </w:instrText>
          </w:r>
          <w:r>
            <w:rPr>
              <w:b/>
            </w:rPr>
            <w:fldChar w:fldCharType="separate"/>
          </w:r>
          <w:r>
            <w:rPr>
              <w:b/>
            </w:rPr>
            <w:t>4</w:t>
          </w:r>
          <w:r>
            <w:rPr>
              <w:b/>
            </w:rPr>
            <w:fldChar w:fldCharType="end"/>
          </w:r>
          <w:r>
            <w:rPr>
              <w:rFonts w:ascii="Arial"/>
              <w:b/>
            </w:rPr>
            <w:fldChar w:fldCharType="end"/>
          </w:r>
        </w:p>
        <w:p>
          <w:pPr>
            <w:pStyle w:val="7"/>
            <w:tabs>
              <w:tab w:val="right" w:leader="dot" w:pos="9428"/>
            </w:tabs>
            <w:rPr>
              <w:b/>
            </w:rPr>
          </w:pPr>
          <w:r>
            <w:rPr>
              <w:rFonts w:ascii="Arial"/>
              <w:b/>
            </w:rPr>
            <w:fldChar w:fldCharType="begin"/>
          </w:r>
          <w:r>
            <w:rPr>
              <w:rFonts w:ascii="Arial"/>
              <w:b/>
            </w:rPr>
            <w:instrText xml:space="preserve"> HYPERLINK \l _Toc17362 </w:instrText>
          </w:r>
          <w:r>
            <w:rPr>
              <w:rFonts w:ascii="Arial"/>
              <w:b/>
            </w:rPr>
            <w:fldChar w:fldCharType="separate"/>
          </w:r>
          <w:r>
            <w:rPr>
              <w:b/>
              <w:spacing w:val="-1"/>
              <w:szCs w:val="21"/>
            </w:rPr>
            <w:t>2  规范性引用文件</w:t>
          </w:r>
          <w:r>
            <w:rPr>
              <w:b/>
            </w:rPr>
            <w:tab/>
          </w:r>
          <w:r>
            <w:rPr>
              <w:b/>
            </w:rPr>
            <w:fldChar w:fldCharType="begin"/>
          </w:r>
          <w:r>
            <w:rPr>
              <w:b/>
            </w:rPr>
            <w:instrText xml:space="preserve"> PAGEREF _Toc17362 \h </w:instrText>
          </w:r>
          <w:r>
            <w:rPr>
              <w:b/>
            </w:rPr>
            <w:fldChar w:fldCharType="separate"/>
          </w:r>
          <w:r>
            <w:rPr>
              <w:b/>
            </w:rPr>
            <w:t>4</w:t>
          </w:r>
          <w:r>
            <w:rPr>
              <w:b/>
            </w:rPr>
            <w:fldChar w:fldCharType="end"/>
          </w:r>
          <w:r>
            <w:rPr>
              <w:rFonts w:ascii="Arial"/>
              <w:b/>
            </w:rPr>
            <w:fldChar w:fldCharType="end"/>
          </w:r>
        </w:p>
        <w:p>
          <w:pPr>
            <w:pStyle w:val="7"/>
            <w:tabs>
              <w:tab w:val="right" w:leader="dot" w:pos="9428"/>
            </w:tabs>
            <w:rPr>
              <w:b/>
            </w:rPr>
          </w:pPr>
          <w:r>
            <w:rPr>
              <w:rFonts w:ascii="Arial"/>
              <w:b/>
            </w:rPr>
            <w:fldChar w:fldCharType="begin"/>
          </w:r>
          <w:r>
            <w:rPr>
              <w:rFonts w:ascii="Arial"/>
              <w:b/>
            </w:rPr>
            <w:instrText xml:space="preserve"> HYPERLINK \l _Toc14211 </w:instrText>
          </w:r>
          <w:r>
            <w:rPr>
              <w:rFonts w:ascii="Arial"/>
              <w:b/>
            </w:rPr>
            <w:fldChar w:fldCharType="separate"/>
          </w:r>
          <w:r>
            <w:rPr>
              <w:b/>
              <w:spacing w:val="-1"/>
              <w:szCs w:val="21"/>
            </w:rPr>
            <w:t>3  术语和定义</w:t>
          </w:r>
          <w:r>
            <w:rPr>
              <w:b/>
            </w:rPr>
            <w:tab/>
          </w:r>
          <w:r>
            <w:rPr>
              <w:b/>
            </w:rPr>
            <w:fldChar w:fldCharType="begin"/>
          </w:r>
          <w:r>
            <w:rPr>
              <w:b/>
            </w:rPr>
            <w:instrText xml:space="preserve"> PAGEREF _Toc14211 \h </w:instrText>
          </w:r>
          <w:r>
            <w:rPr>
              <w:b/>
            </w:rPr>
            <w:fldChar w:fldCharType="separate"/>
          </w:r>
          <w:r>
            <w:rPr>
              <w:b/>
            </w:rPr>
            <w:t>4</w:t>
          </w:r>
          <w:r>
            <w:rPr>
              <w:b/>
            </w:rPr>
            <w:fldChar w:fldCharType="end"/>
          </w:r>
          <w:r>
            <w:rPr>
              <w:rFonts w:ascii="Arial"/>
              <w:b/>
            </w:rPr>
            <w:fldChar w:fldCharType="end"/>
          </w:r>
        </w:p>
        <w:p>
          <w:pPr>
            <w:pStyle w:val="8"/>
            <w:tabs>
              <w:tab w:val="right" w:leader="dot" w:pos="9428"/>
            </w:tabs>
          </w:pPr>
          <w:r>
            <w:rPr>
              <w:rFonts w:ascii="Arial"/>
            </w:rPr>
            <w:fldChar w:fldCharType="begin"/>
          </w:r>
          <w:r>
            <w:rPr>
              <w:rFonts w:ascii="Arial"/>
            </w:rPr>
            <w:instrText xml:space="preserve"> HYPERLINK \l _Toc1559 </w:instrText>
          </w:r>
          <w:r>
            <w:rPr>
              <w:rFonts w:ascii="Arial"/>
            </w:rPr>
            <w:fldChar w:fldCharType="separate"/>
          </w:r>
          <w:r>
            <w:rPr>
              <w:spacing w:val="-2"/>
              <w:szCs w:val="21"/>
            </w:rPr>
            <w:t>3.1</w:t>
          </w:r>
          <w:r>
            <w:tab/>
          </w:r>
          <w:r>
            <w:fldChar w:fldCharType="begin"/>
          </w:r>
          <w:r>
            <w:instrText xml:space="preserve"> PAGEREF _Toc1559 \h </w:instrText>
          </w:r>
          <w:r>
            <w:fldChar w:fldCharType="separate"/>
          </w:r>
          <w:r>
            <w:t>4</w:t>
          </w:r>
          <w:r>
            <w:fldChar w:fldCharType="end"/>
          </w:r>
          <w:r>
            <w:rPr>
              <w:rFonts w:ascii="Arial"/>
            </w:rPr>
            <w:fldChar w:fldCharType="end"/>
          </w:r>
        </w:p>
        <w:p>
          <w:pPr>
            <w:pStyle w:val="7"/>
            <w:tabs>
              <w:tab w:val="right" w:leader="dot" w:pos="9428"/>
            </w:tabs>
            <w:rPr>
              <w:b/>
            </w:rPr>
          </w:pPr>
          <w:r>
            <w:rPr>
              <w:rFonts w:ascii="Arial"/>
              <w:b/>
            </w:rPr>
            <w:fldChar w:fldCharType="begin"/>
          </w:r>
          <w:r>
            <w:rPr>
              <w:rFonts w:ascii="Arial"/>
              <w:b/>
            </w:rPr>
            <w:instrText xml:space="preserve"> HYPERLINK \l _Toc11672 </w:instrText>
          </w:r>
          <w:r>
            <w:rPr>
              <w:rFonts w:ascii="Arial"/>
              <w:b/>
            </w:rPr>
            <w:fldChar w:fldCharType="separate"/>
          </w:r>
          <w:r>
            <w:rPr>
              <w:rFonts w:ascii="Times New Roman" w:hAnsi="Times New Roman" w:eastAsia="Times New Roman" w:cs="Times New Roman"/>
              <w:b/>
              <w:spacing w:val="-4"/>
              <w:szCs w:val="21"/>
            </w:rPr>
            <w:t>4</w:t>
          </w:r>
          <w:r>
            <w:rPr>
              <w:rFonts w:ascii="Times New Roman" w:hAnsi="Times New Roman" w:eastAsia="Times New Roman" w:cs="Times New Roman"/>
              <w:b/>
              <w:spacing w:val="3"/>
              <w:szCs w:val="21"/>
            </w:rPr>
            <w:t xml:space="preserve">    </w:t>
          </w:r>
          <w:r>
            <w:rPr>
              <w:b/>
              <w:spacing w:val="-4"/>
              <w:szCs w:val="21"/>
            </w:rPr>
            <w:t>适应症</w:t>
          </w:r>
          <w:r>
            <w:rPr>
              <w:b/>
            </w:rPr>
            <w:tab/>
          </w:r>
          <w:r>
            <w:rPr>
              <w:b/>
            </w:rPr>
            <w:fldChar w:fldCharType="begin"/>
          </w:r>
          <w:r>
            <w:rPr>
              <w:b/>
            </w:rPr>
            <w:instrText xml:space="preserve"> PAGEREF _Toc11672 \h </w:instrText>
          </w:r>
          <w:r>
            <w:rPr>
              <w:b/>
            </w:rPr>
            <w:fldChar w:fldCharType="separate"/>
          </w:r>
          <w:r>
            <w:rPr>
              <w:b/>
            </w:rPr>
            <w:t>5</w:t>
          </w:r>
          <w:r>
            <w:rPr>
              <w:b/>
            </w:rPr>
            <w:fldChar w:fldCharType="end"/>
          </w:r>
          <w:r>
            <w:rPr>
              <w:rFonts w:ascii="Arial"/>
              <w:b/>
            </w:rPr>
            <w:fldChar w:fldCharType="end"/>
          </w:r>
        </w:p>
        <w:p>
          <w:pPr>
            <w:pStyle w:val="7"/>
            <w:tabs>
              <w:tab w:val="right" w:leader="dot" w:pos="9428"/>
            </w:tabs>
            <w:rPr>
              <w:b/>
            </w:rPr>
          </w:pPr>
          <w:r>
            <w:rPr>
              <w:rFonts w:ascii="Arial"/>
              <w:b/>
            </w:rPr>
            <w:fldChar w:fldCharType="begin"/>
          </w:r>
          <w:r>
            <w:rPr>
              <w:rFonts w:ascii="Arial"/>
              <w:b/>
            </w:rPr>
            <w:instrText xml:space="preserve"> HYPERLINK \l _Toc3278 </w:instrText>
          </w:r>
          <w:r>
            <w:rPr>
              <w:rFonts w:ascii="Arial"/>
              <w:b/>
            </w:rPr>
            <w:fldChar w:fldCharType="separate"/>
          </w:r>
          <w:r>
            <w:rPr>
              <w:b/>
              <w:spacing w:val="-1"/>
              <w:position w:val="32"/>
              <w:szCs w:val="21"/>
            </w:rPr>
            <w:t>5  操作步骤与要求</w:t>
          </w:r>
          <w:r>
            <w:rPr>
              <w:b/>
            </w:rPr>
            <w:tab/>
          </w:r>
          <w:r>
            <w:rPr>
              <w:b/>
            </w:rPr>
            <w:fldChar w:fldCharType="begin"/>
          </w:r>
          <w:r>
            <w:rPr>
              <w:b/>
            </w:rPr>
            <w:instrText xml:space="preserve"> PAGEREF _Toc3278 \h </w:instrText>
          </w:r>
          <w:r>
            <w:rPr>
              <w:b/>
            </w:rPr>
            <w:fldChar w:fldCharType="separate"/>
          </w:r>
          <w:r>
            <w:rPr>
              <w:b/>
            </w:rPr>
            <w:t>5</w:t>
          </w:r>
          <w:r>
            <w:rPr>
              <w:b/>
            </w:rPr>
            <w:fldChar w:fldCharType="end"/>
          </w:r>
          <w:r>
            <w:rPr>
              <w:rFonts w:ascii="Arial"/>
              <w:b/>
            </w:rPr>
            <w:fldChar w:fldCharType="end"/>
          </w:r>
        </w:p>
        <w:p>
          <w:pPr>
            <w:pStyle w:val="8"/>
            <w:tabs>
              <w:tab w:val="right" w:leader="dot" w:pos="9428"/>
            </w:tabs>
          </w:pPr>
          <w:r>
            <w:rPr>
              <w:rFonts w:ascii="Arial"/>
            </w:rPr>
            <w:fldChar w:fldCharType="begin"/>
          </w:r>
          <w:r>
            <w:rPr>
              <w:rFonts w:ascii="Arial"/>
            </w:rPr>
            <w:instrText xml:space="preserve"> HYPERLINK \l _Toc32689 </w:instrText>
          </w:r>
          <w:r>
            <w:rPr>
              <w:rFonts w:ascii="Arial"/>
            </w:rPr>
            <w:fldChar w:fldCharType="separate"/>
          </w:r>
          <w:r>
            <w:rPr>
              <w:spacing w:val="-1"/>
              <w:szCs w:val="21"/>
            </w:rPr>
            <w:t>5.1  操作前准备</w:t>
          </w:r>
          <w:r>
            <w:tab/>
          </w:r>
          <w:r>
            <w:fldChar w:fldCharType="begin"/>
          </w:r>
          <w:r>
            <w:instrText xml:space="preserve"> PAGEREF _Toc32689 \h </w:instrText>
          </w:r>
          <w:r>
            <w:fldChar w:fldCharType="separate"/>
          </w:r>
          <w:r>
            <w:t>5</w:t>
          </w:r>
          <w:r>
            <w:fldChar w:fldCharType="end"/>
          </w:r>
          <w:r>
            <w:rPr>
              <w:rFonts w:ascii="Arial"/>
            </w:rPr>
            <w:fldChar w:fldCharType="end"/>
          </w:r>
        </w:p>
        <w:p>
          <w:pPr>
            <w:pStyle w:val="8"/>
            <w:tabs>
              <w:tab w:val="right" w:leader="dot" w:pos="9428"/>
            </w:tabs>
          </w:pPr>
          <w:r>
            <w:rPr>
              <w:rFonts w:ascii="Arial"/>
            </w:rPr>
            <w:fldChar w:fldCharType="begin"/>
          </w:r>
          <w:r>
            <w:rPr>
              <w:rFonts w:ascii="Arial"/>
            </w:rPr>
            <w:instrText xml:space="preserve"> HYPERLINK \l _Toc100 </w:instrText>
          </w:r>
          <w:r>
            <w:rPr>
              <w:rFonts w:ascii="Arial"/>
            </w:rPr>
            <w:fldChar w:fldCharType="separate"/>
          </w:r>
          <w:r>
            <w:rPr>
              <w:rFonts w:ascii="Calibri" w:hAnsi="Calibri" w:eastAsia="Calibri" w:cs="Calibri"/>
              <w:spacing w:val="-2"/>
              <w:szCs w:val="21"/>
            </w:rPr>
            <w:t>5.2</w:t>
          </w:r>
          <w:r>
            <w:rPr>
              <w:rFonts w:ascii="Calibri" w:hAnsi="Calibri" w:eastAsia="Calibri" w:cs="Calibri"/>
              <w:spacing w:val="8"/>
              <w:szCs w:val="21"/>
            </w:rPr>
            <w:t xml:space="preserve">  </w:t>
          </w:r>
          <w:r>
            <w:rPr>
              <w:spacing w:val="-2"/>
              <w:szCs w:val="21"/>
            </w:rPr>
            <w:t>操作方法</w:t>
          </w:r>
          <w:r>
            <w:tab/>
          </w:r>
          <w:r>
            <w:fldChar w:fldCharType="begin"/>
          </w:r>
          <w:r>
            <w:instrText xml:space="preserve"> PAGEREF _Toc100 \h </w:instrText>
          </w:r>
          <w:r>
            <w:fldChar w:fldCharType="separate"/>
          </w:r>
          <w:r>
            <w:t>6</w:t>
          </w:r>
          <w:r>
            <w:fldChar w:fldCharType="end"/>
          </w:r>
          <w:r>
            <w:rPr>
              <w:rFonts w:ascii="Arial"/>
            </w:rPr>
            <w:fldChar w:fldCharType="end"/>
          </w:r>
        </w:p>
        <w:p>
          <w:pPr>
            <w:pStyle w:val="7"/>
            <w:tabs>
              <w:tab w:val="right" w:leader="dot" w:pos="9428"/>
            </w:tabs>
            <w:rPr>
              <w:b/>
            </w:rPr>
          </w:pPr>
          <w:r>
            <w:rPr>
              <w:rFonts w:ascii="Arial"/>
              <w:b/>
            </w:rPr>
            <w:fldChar w:fldCharType="begin"/>
          </w:r>
          <w:r>
            <w:rPr>
              <w:rFonts w:ascii="Arial"/>
              <w:b/>
            </w:rPr>
            <w:instrText xml:space="preserve"> HYPERLINK \l _Toc4450 </w:instrText>
          </w:r>
          <w:r>
            <w:rPr>
              <w:rFonts w:ascii="Arial"/>
              <w:b/>
            </w:rPr>
            <w:fldChar w:fldCharType="separate"/>
          </w:r>
          <w:r>
            <w:rPr>
              <w:b/>
              <w:spacing w:val="-4"/>
              <w:szCs w:val="21"/>
            </w:rPr>
            <w:t>6</w:t>
          </w:r>
          <w:r>
            <w:rPr>
              <w:b/>
              <w:spacing w:val="11"/>
              <w:szCs w:val="21"/>
            </w:rPr>
            <w:t xml:space="preserve"> </w:t>
          </w:r>
          <w:r>
            <w:rPr>
              <w:b/>
              <w:spacing w:val="-4"/>
              <w:szCs w:val="21"/>
            </w:rPr>
            <w:t>禁忌症</w:t>
          </w:r>
          <w:r>
            <w:rPr>
              <w:b/>
            </w:rPr>
            <w:tab/>
          </w:r>
          <w:r>
            <w:rPr>
              <w:b/>
            </w:rPr>
            <w:fldChar w:fldCharType="begin"/>
          </w:r>
          <w:r>
            <w:rPr>
              <w:b/>
            </w:rPr>
            <w:instrText xml:space="preserve"> PAGEREF _Toc4450 \h </w:instrText>
          </w:r>
          <w:r>
            <w:rPr>
              <w:b/>
            </w:rPr>
            <w:fldChar w:fldCharType="separate"/>
          </w:r>
          <w:r>
            <w:rPr>
              <w:b/>
            </w:rPr>
            <w:t>7</w:t>
          </w:r>
          <w:r>
            <w:rPr>
              <w:b/>
            </w:rPr>
            <w:fldChar w:fldCharType="end"/>
          </w:r>
          <w:r>
            <w:rPr>
              <w:rFonts w:ascii="Arial"/>
              <w:b/>
            </w:rPr>
            <w:fldChar w:fldCharType="end"/>
          </w:r>
        </w:p>
        <w:p>
          <w:pPr>
            <w:pStyle w:val="8"/>
            <w:tabs>
              <w:tab w:val="right" w:leader="dot" w:pos="9428"/>
            </w:tabs>
          </w:pPr>
          <w:r>
            <w:rPr>
              <w:rFonts w:ascii="Arial"/>
            </w:rPr>
            <w:fldChar w:fldCharType="begin"/>
          </w:r>
          <w:r>
            <w:rPr>
              <w:rFonts w:ascii="Arial"/>
            </w:rPr>
            <w:instrText xml:space="preserve"> HYPERLINK \l _Toc1943 </w:instrText>
          </w:r>
          <w:r>
            <w:rPr>
              <w:rFonts w:ascii="Arial"/>
            </w:rPr>
            <w:fldChar w:fldCharType="separate"/>
          </w:r>
          <w:r>
            <w:rPr>
              <w:rFonts w:ascii="Calibri" w:hAnsi="Calibri" w:eastAsia="Calibri" w:cs="Calibri"/>
              <w:spacing w:val="-1"/>
              <w:szCs w:val="21"/>
            </w:rPr>
            <w:t xml:space="preserve">6.3 </w:t>
          </w:r>
          <w:r>
            <w:rPr>
              <w:rFonts w:ascii="宋体" w:hAnsi="宋体" w:eastAsia="宋体" w:cs="宋体"/>
              <w:spacing w:val="-1"/>
              <w:szCs w:val="21"/>
            </w:rPr>
            <w:t>进行性根性损害或马尾神经功能障碍。</w:t>
          </w:r>
          <w:r>
            <w:tab/>
          </w:r>
          <w:r>
            <w:fldChar w:fldCharType="begin"/>
          </w:r>
          <w:r>
            <w:instrText xml:space="preserve"> PAGEREF _Toc1943 \h </w:instrText>
          </w:r>
          <w:r>
            <w:fldChar w:fldCharType="separate"/>
          </w:r>
          <w:r>
            <w:t>7</w:t>
          </w:r>
          <w:r>
            <w:fldChar w:fldCharType="end"/>
          </w:r>
          <w:r>
            <w:rPr>
              <w:rFonts w:ascii="Arial"/>
            </w:rPr>
            <w:fldChar w:fldCharType="end"/>
          </w:r>
        </w:p>
        <w:p>
          <w:pPr>
            <w:pStyle w:val="7"/>
            <w:tabs>
              <w:tab w:val="right" w:leader="dot" w:pos="9428"/>
            </w:tabs>
            <w:rPr>
              <w:b/>
            </w:rPr>
          </w:pPr>
          <w:r>
            <w:rPr>
              <w:rFonts w:ascii="Arial"/>
              <w:b/>
            </w:rPr>
            <w:fldChar w:fldCharType="begin"/>
          </w:r>
          <w:r>
            <w:rPr>
              <w:rFonts w:ascii="Arial"/>
              <w:b/>
            </w:rPr>
            <w:instrText xml:space="preserve"> HYPERLINK \l _Toc16924 </w:instrText>
          </w:r>
          <w:r>
            <w:rPr>
              <w:rFonts w:ascii="Arial"/>
              <w:b/>
            </w:rPr>
            <w:fldChar w:fldCharType="separate"/>
          </w:r>
          <w:r>
            <w:rPr>
              <w:b/>
              <w:spacing w:val="-4"/>
              <w:szCs w:val="21"/>
            </w:rPr>
            <w:t>7</w:t>
          </w:r>
          <w:r>
            <w:rPr>
              <w:b/>
              <w:spacing w:val="13"/>
              <w:szCs w:val="21"/>
            </w:rPr>
            <w:t xml:space="preserve"> </w:t>
          </w:r>
          <w:r>
            <w:rPr>
              <w:b/>
              <w:spacing w:val="-4"/>
              <w:szCs w:val="21"/>
            </w:rPr>
            <w:t>应急处置</w:t>
          </w:r>
          <w:r>
            <w:rPr>
              <w:b/>
            </w:rPr>
            <w:tab/>
          </w:r>
          <w:r>
            <w:rPr>
              <w:b/>
            </w:rPr>
            <w:fldChar w:fldCharType="begin"/>
          </w:r>
          <w:r>
            <w:rPr>
              <w:b/>
            </w:rPr>
            <w:instrText xml:space="preserve"> PAGEREF _Toc16924 \h </w:instrText>
          </w:r>
          <w:r>
            <w:rPr>
              <w:b/>
            </w:rPr>
            <w:fldChar w:fldCharType="separate"/>
          </w:r>
          <w:r>
            <w:rPr>
              <w:b/>
            </w:rPr>
            <w:t>7</w:t>
          </w:r>
          <w:r>
            <w:rPr>
              <w:b/>
            </w:rPr>
            <w:fldChar w:fldCharType="end"/>
          </w:r>
          <w:r>
            <w:rPr>
              <w:rFonts w:ascii="Arial"/>
              <w:b/>
            </w:rPr>
            <w:fldChar w:fldCharType="end"/>
          </w:r>
        </w:p>
        <w:p>
          <w:pPr>
            <w:pStyle w:val="7"/>
            <w:tabs>
              <w:tab w:val="right" w:leader="dot" w:pos="9428"/>
            </w:tabs>
            <w:rPr>
              <w:b/>
            </w:rPr>
          </w:pPr>
          <w:r>
            <w:rPr>
              <w:rFonts w:ascii="Arial"/>
              <w:b/>
            </w:rPr>
            <w:fldChar w:fldCharType="begin"/>
          </w:r>
          <w:r>
            <w:rPr>
              <w:rFonts w:ascii="Arial"/>
              <w:b/>
            </w:rPr>
            <w:instrText xml:space="preserve"> HYPERLINK \l _Toc12558 </w:instrText>
          </w:r>
          <w:r>
            <w:rPr>
              <w:rFonts w:ascii="Arial"/>
              <w:b/>
            </w:rPr>
            <w:fldChar w:fldCharType="separate"/>
          </w:r>
          <w:r>
            <w:rPr>
              <w:b/>
              <w:spacing w:val="-1"/>
              <w:szCs w:val="21"/>
            </w:rPr>
            <w:t>8 术者要求</w:t>
          </w:r>
          <w:r>
            <w:rPr>
              <w:b/>
            </w:rPr>
            <w:tab/>
          </w:r>
          <w:r>
            <w:rPr>
              <w:b/>
            </w:rPr>
            <w:fldChar w:fldCharType="begin"/>
          </w:r>
          <w:r>
            <w:rPr>
              <w:b/>
            </w:rPr>
            <w:instrText xml:space="preserve"> PAGEREF _Toc12558 \h </w:instrText>
          </w:r>
          <w:r>
            <w:rPr>
              <w:b/>
            </w:rPr>
            <w:fldChar w:fldCharType="separate"/>
          </w:r>
          <w:r>
            <w:rPr>
              <w:b/>
            </w:rPr>
            <w:t>7</w:t>
          </w:r>
          <w:r>
            <w:rPr>
              <w:b/>
            </w:rPr>
            <w:fldChar w:fldCharType="end"/>
          </w:r>
          <w:r>
            <w:rPr>
              <w:rFonts w:ascii="Arial"/>
              <w:b/>
            </w:rPr>
            <w:fldChar w:fldCharType="end"/>
          </w:r>
        </w:p>
        <w:p>
          <w:pPr>
            <w:pStyle w:val="7"/>
            <w:tabs>
              <w:tab w:val="right" w:leader="dot" w:pos="9428"/>
            </w:tabs>
            <w:rPr>
              <w:b/>
            </w:rPr>
          </w:pPr>
          <w:r>
            <w:rPr>
              <w:rFonts w:ascii="Arial"/>
              <w:b/>
            </w:rPr>
            <w:fldChar w:fldCharType="begin"/>
          </w:r>
          <w:r>
            <w:rPr>
              <w:rFonts w:ascii="Arial"/>
              <w:b/>
            </w:rPr>
            <w:instrText xml:space="preserve"> HYPERLINK \l _Toc26339 </w:instrText>
          </w:r>
          <w:r>
            <w:rPr>
              <w:rFonts w:ascii="Arial"/>
              <w:b/>
            </w:rPr>
            <w:fldChar w:fldCharType="separate"/>
          </w:r>
          <w:r>
            <w:rPr>
              <w:b/>
              <w:szCs w:val="21"/>
            </w:rPr>
            <w:t>9 疗程及间隔时间</w:t>
          </w:r>
          <w:r>
            <w:rPr>
              <w:b/>
            </w:rPr>
            <w:tab/>
          </w:r>
          <w:r>
            <w:rPr>
              <w:b/>
            </w:rPr>
            <w:fldChar w:fldCharType="begin"/>
          </w:r>
          <w:r>
            <w:rPr>
              <w:b/>
            </w:rPr>
            <w:instrText xml:space="preserve"> PAGEREF _Toc26339 \h </w:instrText>
          </w:r>
          <w:r>
            <w:rPr>
              <w:b/>
            </w:rPr>
            <w:fldChar w:fldCharType="separate"/>
          </w:r>
          <w:r>
            <w:rPr>
              <w:b/>
            </w:rPr>
            <w:t>7</w:t>
          </w:r>
          <w:r>
            <w:rPr>
              <w:b/>
            </w:rPr>
            <w:fldChar w:fldCharType="end"/>
          </w:r>
          <w:r>
            <w:rPr>
              <w:rFonts w:ascii="Arial"/>
              <w:b/>
            </w:rPr>
            <w:fldChar w:fldCharType="end"/>
          </w:r>
        </w:p>
        <w:p>
          <w:pPr>
            <w:spacing w:line="293" w:lineRule="auto"/>
            <w:rPr>
              <w:rFonts w:ascii="Arial"/>
              <w:sz w:val="21"/>
            </w:rPr>
          </w:pPr>
          <w:r>
            <w:rPr>
              <w:rFonts w:ascii="Arial"/>
              <w:b/>
            </w:rPr>
            <w:fldChar w:fldCharType="end"/>
          </w:r>
        </w:p>
      </w:sdtContent>
    </w:sdt>
    <w:p>
      <w:pPr>
        <w:spacing w:line="294" w:lineRule="auto"/>
        <w:rPr>
          <w:rFonts w:ascii="Arial"/>
          <w:sz w:val="21"/>
        </w:rPr>
      </w:pPr>
    </w:p>
    <w:p>
      <w:pPr>
        <w:spacing w:line="294" w:lineRule="auto"/>
        <w:rPr>
          <w:rFonts w:ascii="Arial"/>
          <w:sz w:val="21"/>
        </w:rPr>
      </w:pPr>
    </w:p>
    <w:p>
      <w:pPr>
        <w:pStyle w:val="2"/>
        <w:spacing w:before="101" w:line="225" w:lineRule="auto"/>
        <w:ind w:left="4201"/>
        <w:outlineLvl w:val="0"/>
        <w:rPr>
          <w:spacing w:val="-2"/>
          <w:sz w:val="31"/>
          <w:szCs w:val="31"/>
        </w:rPr>
      </w:pPr>
      <w:bookmarkStart w:id="2" w:name="_Toc24921"/>
    </w:p>
    <w:p>
      <w:pPr>
        <w:pStyle w:val="2"/>
        <w:spacing w:before="101" w:line="225" w:lineRule="auto"/>
        <w:ind w:left="4201"/>
        <w:outlineLvl w:val="0"/>
        <w:rPr>
          <w:spacing w:val="-2"/>
          <w:sz w:val="31"/>
          <w:szCs w:val="31"/>
        </w:rPr>
      </w:pPr>
    </w:p>
    <w:p>
      <w:pPr>
        <w:pStyle w:val="2"/>
        <w:spacing w:before="101" w:line="225" w:lineRule="auto"/>
        <w:ind w:left="4201"/>
        <w:outlineLvl w:val="0"/>
        <w:rPr>
          <w:spacing w:val="-2"/>
          <w:sz w:val="31"/>
          <w:szCs w:val="31"/>
        </w:rPr>
      </w:pPr>
    </w:p>
    <w:p>
      <w:pPr>
        <w:pStyle w:val="2"/>
        <w:spacing w:before="101" w:line="225" w:lineRule="auto"/>
        <w:ind w:left="4201"/>
        <w:outlineLvl w:val="0"/>
        <w:rPr>
          <w:spacing w:val="-2"/>
          <w:sz w:val="31"/>
          <w:szCs w:val="31"/>
        </w:rPr>
      </w:pPr>
    </w:p>
    <w:p>
      <w:pPr>
        <w:pStyle w:val="2"/>
        <w:spacing w:before="101" w:line="225" w:lineRule="auto"/>
        <w:ind w:left="4201"/>
        <w:outlineLvl w:val="0"/>
        <w:rPr>
          <w:spacing w:val="-2"/>
          <w:sz w:val="31"/>
          <w:szCs w:val="31"/>
        </w:rPr>
      </w:pPr>
    </w:p>
    <w:p>
      <w:pPr>
        <w:pStyle w:val="2"/>
        <w:spacing w:before="101" w:line="225" w:lineRule="auto"/>
        <w:ind w:left="4201"/>
        <w:outlineLvl w:val="0"/>
        <w:rPr>
          <w:spacing w:val="-2"/>
          <w:sz w:val="31"/>
          <w:szCs w:val="31"/>
        </w:rPr>
      </w:pPr>
    </w:p>
    <w:p>
      <w:pPr>
        <w:pStyle w:val="2"/>
        <w:spacing w:before="101" w:line="225" w:lineRule="auto"/>
        <w:ind w:left="4201"/>
        <w:outlineLvl w:val="0"/>
        <w:rPr>
          <w:spacing w:val="-2"/>
          <w:sz w:val="31"/>
          <w:szCs w:val="31"/>
        </w:rPr>
      </w:pPr>
    </w:p>
    <w:p>
      <w:pPr>
        <w:pStyle w:val="2"/>
        <w:spacing w:before="101" w:line="225" w:lineRule="auto"/>
        <w:ind w:left="4201"/>
        <w:outlineLvl w:val="0"/>
        <w:rPr>
          <w:spacing w:val="-2"/>
          <w:sz w:val="31"/>
          <w:szCs w:val="31"/>
        </w:rPr>
      </w:pPr>
    </w:p>
    <w:p>
      <w:pPr>
        <w:pStyle w:val="2"/>
        <w:spacing w:before="101" w:line="225" w:lineRule="auto"/>
        <w:ind w:left="4201"/>
        <w:outlineLvl w:val="0"/>
        <w:rPr>
          <w:spacing w:val="-2"/>
          <w:sz w:val="31"/>
          <w:szCs w:val="31"/>
        </w:rPr>
      </w:pPr>
    </w:p>
    <w:p>
      <w:pPr>
        <w:pStyle w:val="2"/>
        <w:spacing w:before="101" w:line="225" w:lineRule="auto"/>
        <w:ind w:left="4201"/>
        <w:outlineLvl w:val="0"/>
        <w:rPr>
          <w:spacing w:val="-2"/>
          <w:sz w:val="31"/>
          <w:szCs w:val="31"/>
        </w:rPr>
      </w:pPr>
    </w:p>
    <w:p>
      <w:pPr>
        <w:pStyle w:val="2"/>
        <w:spacing w:before="101" w:line="225" w:lineRule="auto"/>
        <w:ind w:left="4201"/>
        <w:outlineLvl w:val="0"/>
        <w:rPr>
          <w:spacing w:val="-2"/>
          <w:sz w:val="31"/>
          <w:szCs w:val="31"/>
        </w:rPr>
      </w:pPr>
    </w:p>
    <w:p>
      <w:pPr>
        <w:pStyle w:val="2"/>
        <w:spacing w:before="101" w:line="225" w:lineRule="auto"/>
        <w:ind w:left="4201"/>
        <w:outlineLvl w:val="0"/>
        <w:rPr>
          <w:spacing w:val="-2"/>
          <w:sz w:val="31"/>
          <w:szCs w:val="31"/>
        </w:rPr>
      </w:pPr>
    </w:p>
    <w:p>
      <w:pPr>
        <w:pStyle w:val="2"/>
        <w:spacing w:before="101" w:line="225" w:lineRule="auto"/>
        <w:ind w:left="4201"/>
        <w:outlineLvl w:val="0"/>
        <w:rPr>
          <w:spacing w:val="-2"/>
          <w:sz w:val="31"/>
          <w:szCs w:val="31"/>
        </w:rPr>
      </w:pPr>
    </w:p>
    <w:p>
      <w:pPr>
        <w:pStyle w:val="2"/>
        <w:spacing w:before="101" w:line="225" w:lineRule="auto"/>
        <w:ind w:left="4201"/>
        <w:outlineLvl w:val="0"/>
        <w:rPr>
          <w:sz w:val="31"/>
          <w:szCs w:val="31"/>
        </w:rPr>
      </w:pPr>
      <w:r>
        <w:rPr>
          <w:spacing w:val="-2"/>
          <w:sz w:val="31"/>
          <w:szCs w:val="31"/>
        </w:rPr>
        <w:t>前</w:t>
      </w:r>
      <w:r>
        <w:rPr>
          <w:spacing w:val="18"/>
          <w:sz w:val="31"/>
          <w:szCs w:val="31"/>
        </w:rPr>
        <w:t xml:space="preserve">  </w:t>
      </w:r>
      <w:r>
        <w:rPr>
          <w:spacing w:val="-2"/>
          <w:sz w:val="31"/>
          <w:szCs w:val="31"/>
        </w:rPr>
        <w:t>言</w:t>
      </w:r>
      <w:bookmarkEnd w:id="2"/>
    </w:p>
    <w:p>
      <w:pPr>
        <w:spacing w:line="263" w:lineRule="auto"/>
        <w:rPr>
          <w:rFonts w:ascii="Arial"/>
          <w:sz w:val="21"/>
        </w:rPr>
      </w:pPr>
    </w:p>
    <w:p>
      <w:pPr>
        <w:spacing w:line="264" w:lineRule="auto"/>
        <w:rPr>
          <w:rFonts w:ascii="Arial"/>
          <w:sz w:val="21"/>
        </w:rPr>
      </w:pPr>
    </w:p>
    <w:p>
      <w:pPr>
        <w:spacing w:before="68" w:line="247" w:lineRule="auto"/>
        <w:ind w:left="2" w:right="74" w:firstLine="420"/>
        <w:rPr>
          <w:rFonts w:ascii="宋体" w:hAnsi="宋体" w:eastAsia="宋体" w:cs="宋体"/>
          <w:sz w:val="21"/>
          <w:szCs w:val="21"/>
        </w:rPr>
      </w:pPr>
      <w:r>
        <w:rPr>
          <w:rFonts w:ascii="宋体" w:hAnsi="宋体" w:eastAsia="宋体" w:cs="宋体"/>
          <w:spacing w:val="-2"/>
          <w:sz w:val="21"/>
          <w:szCs w:val="21"/>
        </w:rPr>
        <w:t>本文件按照GB/T 1.1—2020《标准化工作导则  第1部分： 标准化文件的结构和起草规则》的规定</w:t>
      </w:r>
      <w:r>
        <w:rPr>
          <w:rFonts w:ascii="宋体" w:hAnsi="宋体" w:eastAsia="宋体" w:cs="宋体"/>
          <w:sz w:val="21"/>
          <w:szCs w:val="21"/>
        </w:rPr>
        <w:t xml:space="preserve"> </w:t>
      </w:r>
      <w:r>
        <w:rPr>
          <w:rFonts w:ascii="宋体" w:hAnsi="宋体" w:eastAsia="宋体" w:cs="宋体"/>
          <w:spacing w:val="-9"/>
          <w:sz w:val="21"/>
          <w:szCs w:val="21"/>
        </w:rPr>
        <w:t>起草。</w:t>
      </w:r>
    </w:p>
    <w:p>
      <w:pPr>
        <w:spacing w:before="60" w:line="220" w:lineRule="auto"/>
        <w:ind w:left="420"/>
        <w:rPr>
          <w:rFonts w:ascii="宋体" w:hAnsi="宋体" w:eastAsia="宋体" w:cs="宋体"/>
          <w:sz w:val="21"/>
          <w:szCs w:val="21"/>
        </w:rPr>
      </w:pPr>
      <w:r>
        <w:rPr>
          <w:rFonts w:ascii="宋体" w:hAnsi="宋体" w:eastAsia="宋体" w:cs="宋体"/>
          <w:sz w:val="21"/>
          <w:szCs w:val="21"/>
        </w:rPr>
        <w:t>请注意本文件的某些内容可能涉及专利。本文件的发布机构不承担识别专利的责任。</w:t>
      </w:r>
    </w:p>
    <w:p>
      <w:pPr>
        <w:spacing w:before="61" w:line="220" w:lineRule="auto"/>
        <w:ind w:left="422"/>
        <w:rPr>
          <w:rFonts w:ascii="宋体" w:hAnsi="宋体" w:eastAsia="宋体" w:cs="宋体"/>
          <w:sz w:val="21"/>
          <w:szCs w:val="21"/>
        </w:rPr>
      </w:pPr>
      <w:r>
        <w:rPr>
          <w:rFonts w:ascii="宋体" w:hAnsi="宋体" w:eastAsia="宋体" w:cs="宋体"/>
          <w:spacing w:val="-1"/>
          <w:sz w:val="21"/>
          <w:szCs w:val="21"/>
        </w:rPr>
        <w:t>本文件由黔东南州苗族侗族自治州中医医院提出。</w:t>
      </w:r>
    </w:p>
    <w:p>
      <w:pPr>
        <w:spacing w:before="62" w:line="220" w:lineRule="auto"/>
        <w:ind w:left="422"/>
        <w:rPr>
          <w:rFonts w:ascii="宋体" w:hAnsi="宋体" w:eastAsia="宋体" w:cs="宋体"/>
          <w:sz w:val="21"/>
          <w:szCs w:val="21"/>
        </w:rPr>
      </w:pPr>
      <w:r>
        <w:rPr>
          <w:rFonts w:ascii="宋体" w:hAnsi="宋体" w:eastAsia="宋体" w:cs="宋体"/>
          <w:spacing w:val="-1"/>
          <w:sz w:val="21"/>
          <w:szCs w:val="21"/>
        </w:rPr>
        <w:t>本文件由中国民族医药协会归口。</w:t>
      </w:r>
    </w:p>
    <w:p>
      <w:pPr>
        <w:spacing w:before="64" w:line="256" w:lineRule="auto"/>
        <w:ind w:right="85" w:firstLine="422"/>
        <w:rPr>
          <w:rFonts w:ascii="宋体" w:hAnsi="宋体" w:eastAsia="宋体" w:cs="宋体"/>
          <w:sz w:val="21"/>
          <w:szCs w:val="21"/>
        </w:rPr>
      </w:pPr>
      <w:r>
        <w:rPr>
          <w:rFonts w:ascii="宋体" w:hAnsi="宋体" w:eastAsia="宋体" w:cs="宋体"/>
          <w:spacing w:val="-3"/>
          <w:sz w:val="21"/>
          <w:szCs w:val="21"/>
        </w:rPr>
        <w:t>本文件主要起草单位：黔东南州苗族侗族自治州中医医院、贵州云中医院、南宁市妇幼保健院、首</w:t>
      </w:r>
      <w:r>
        <w:rPr>
          <w:rFonts w:ascii="宋体" w:hAnsi="宋体" w:eastAsia="宋体" w:cs="宋体"/>
          <w:spacing w:val="16"/>
          <w:sz w:val="21"/>
          <w:szCs w:val="21"/>
        </w:rPr>
        <w:t xml:space="preserve"> </w:t>
      </w:r>
      <w:r>
        <w:rPr>
          <w:rFonts w:ascii="宋体" w:hAnsi="宋体" w:eastAsia="宋体" w:cs="宋体"/>
          <w:spacing w:val="-2"/>
          <w:sz w:val="21"/>
          <w:szCs w:val="21"/>
        </w:rPr>
        <w:t>钢水钢医院、北京积水潭医院贵州医院、务川县仡佬族苗</w:t>
      </w:r>
      <w:r>
        <w:rPr>
          <w:rFonts w:ascii="宋体" w:hAnsi="宋体" w:eastAsia="宋体" w:cs="宋体"/>
          <w:spacing w:val="-3"/>
          <w:sz w:val="21"/>
          <w:szCs w:val="21"/>
        </w:rPr>
        <w:t>族自治县中医医院、石阡县中医医院、榕江县</w:t>
      </w:r>
      <w:r>
        <w:rPr>
          <w:rFonts w:ascii="宋体" w:hAnsi="宋体" w:eastAsia="宋体" w:cs="宋体"/>
          <w:sz w:val="21"/>
          <w:szCs w:val="21"/>
        </w:rPr>
        <w:t xml:space="preserve"> 中医院、黎平县中医医院、天柱县中医院、黔西市中医医院</w:t>
      </w:r>
    </w:p>
    <w:p>
      <w:pPr>
        <w:spacing w:before="62" w:line="247" w:lineRule="auto"/>
        <w:ind w:left="3" w:firstLine="419"/>
        <w:rPr>
          <w:rFonts w:ascii="宋体" w:hAnsi="宋体" w:eastAsia="宋体" w:cs="宋体"/>
          <w:sz w:val="21"/>
          <w:szCs w:val="21"/>
        </w:rPr>
      </w:pPr>
      <w:r>
        <w:rPr>
          <w:rFonts w:ascii="宋体" w:hAnsi="宋体" w:eastAsia="宋体" w:cs="宋体"/>
          <w:spacing w:val="-1"/>
          <w:sz w:val="21"/>
          <w:szCs w:val="21"/>
        </w:rPr>
        <w:t>本文件主要起草人：蒋泰媛、刘伟军、曾曼杰、安平、李飞舟、罗永贵、陈复贤、彭强、徐善勍、</w:t>
      </w:r>
      <w:r>
        <w:rPr>
          <w:rFonts w:ascii="宋体" w:hAnsi="宋体" w:eastAsia="宋体" w:cs="宋体"/>
          <w:spacing w:val="16"/>
          <w:sz w:val="21"/>
          <w:szCs w:val="21"/>
        </w:rPr>
        <w:t xml:space="preserve"> </w:t>
      </w:r>
      <w:r>
        <w:rPr>
          <w:rFonts w:ascii="宋体" w:hAnsi="宋体" w:eastAsia="宋体" w:cs="宋体"/>
          <w:spacing w:val="-1"/>
          <w:sz w:val="21"/>
          <w:szCs w:val="21"/>
        </w:rPr>
        <w:t>杨国辉、梁琪、龙光华、张平、刘正兴</w:t>
      </w:r>
    </w:p>
    <w:p>
      <w:pPr>
        <w:spacing w:line="247" w:lineRule="auto"/>
        <w:rPr>
          <w:rFonts w:ascii="宋体" w:hAnsi="宋体" w:eastAsia="宋体" w:cs="宋体"/>
          <w:sz w:val="21"/>
          <w:szCs w:val="21"/>
        </w:rPr>
        <w:sectPr>
          <w:headerReference r:id="rId5" w:type="default"/>
          <w:footerReference r:id="rId6" w:type="default"/>
          <w:pgSz w:w="11907" w:h="16839"/>
          <w:pgMar w:top="1659" w:right="1054" w:bottom="1309" w:left="1425" w:header="1448" w:footer="1133" w:gutter="0"/>
          <w:cols w:space="720" w:num="1"/>
        </w:sectPr>
      </w:pPr>
    </w:p>
    <w:p>
      <w:pPr>
        <w:spacing w:line="293" w:lineRule="auto"/>
        <w:rPr>
          <w:rFonts w:ascii="Arial"/>
          <w:sz w:val="21"/>
        </w:rPr>
      </w:pPr>
    </w:p>
    <w:p>
      <w:pPr>
        <w:spacing w:line="293" w:lineRule="auto"/>
        <w:rPr>
          <w:rFonts w:ascii="Arial"/>
          <w:sz w:val="21"/>
        </w:rPr>
      </w:pPr>
    </w:p>
    <w:p>
      <w:pPr>
        <w:spacing w:line="294" w:lineRule="auto"/>
        <w:rPr>
          <w:rFonts w:ascii="Arial"/>
          <w:sz w:val="21"/>
        </w:rPr>
      </w:pPr>
    </w:p>
    <w:p>
      <w:pPr>
        <w:pStyle w:val="2"/>
        <w:spacing w:before="101" w:line="226" w:lineRule="auto"/>
        <w:ind w:left="4227"/>
        <w:outlineLvl w:val="0"/>
        <w:rPr>
          <w:sz w:val="31"/>
          <w:szCs w:val="31"/>
        </w:rPr>
      </w:pPr>
      <w:bookmarkStart w:id="3" w:name="_Toc20091"/>
      <w:r>
        <w:rPr>
          <w:spacing w:val="-16"/>
          <w:sz w:val="31"/>
          <w:szCs w:val="31"/>
        </w:rPr>
        <w:t>引</w:t>
      </w:r>
      <w:r>
        <w:rPr>
          <w:spacing w:val="18"/>
          <w:sz w:val="31"/>
          <w:szCs w:val="31"/>
        </w:rPr>
        <w:t xml:space="preserve">  </w:t>
      </w:r>
      <w:r>
        <w:rPr>
          <w:spacing w:val="-16"/>
          <w:sz w:val="31"/>
          <w:szCs w:val="31"/>
        </w:rPr>
        <w:t>言</w:t>
      </w:r>
      <w:bookmarkEnd w:id="3"/>
    </w:p>
    <w:p>
      <w:pPr>
        <w:spacing w:line="263" w:lineRule="auto"/>
        <w:rPr>
          <w:rFonts w:ascii="Arial"/>
          <w:sz w:val="21"/>
        </w:rPr>
      </w:pPr>
    </w:p>
    <w:p>
      <w:pPr>
        <w:spacing w:line="264" w:lineRule="auto"/>
        <w:rPr>
          <w:rFonts w:ascii="Arial"/>
          <w:sz w:val="21"/>
        </w:rPr>
      </w:pPr>
    </w:p>
    <w:p>
      <w:pPr>
        <w:spacing w:before="68" w:line="263" w:lineRule="auto"/>
        <w:ind w:firstLine="421"/>
        <w:jc w:val="both"/>
        <w:rPr>
          <w:rFonts w:ascii="宋体" w:hAnsi="宋体" w:eastAsia="宋体" w:cs="宋体"/>
          <w:sz w:val="21"/>
          <w:szCs w:val="21"/>
        </w:rPr>
      </w:pPr>
      <w:r>
        <w:rPr>
          <w:rFonts w:ascii="宋体" w:hAnsi="宋体" w:eastAsia="宋体" w:cs="宋体"/>
          <w:spacing w:val="-2"/>
          <w:sz w:val="21"/>
          <w:szCs w:val="21"/>
        </w:rPr>
        <w:t>《密集型银质针疗法治疗退变性腰椎管狭窄</w:t>
      </w:r>
      <w:r>
        <w:rPr>
          <w:rFonts w:ascii="宋体" w:hAnsi="宋体" w:eastAsia="宋体" w:cs="宋体"/>
          <w:spacing w:val="-3"/>
          <w:sz w:val="21"/>
          <w:szCs w:val="21"/>
        </w:rPr>
        <w:t xml:space="preserve">症技术操作规范》为后期各级医疗机构建立银质针疗法 </w:t>
      </w:r>
      <w:r>
        <w:rPr>
          <w:rFonts w:ascii="宋体" w:hAnsi="宋体" w:eastAsia="宋体" w:cs="宋体"/>
          <w:spacing w:val="-2"/>
          <w:sz w:val="21"/>
          <w:szCs w:val="21"/>
        </w:rPr>
        <w:t>技术临床应用论证和评估等管理制度、机构内技术操作规范</w:t>
      </w:r>
      <w:r>
        <w:rPr>
          <w:rFonts w:ascii="宋体" w:hAnsi="宋体" w:eastAsia="宋体" w:cs="宋体"/>
          <w:spacing w:val="-3"/>
          <w:sz w:val="21"/>
          <w:szCs w:val="21"/>
        </w:rPr>
        <w:t xml:space="preserve">和管理要求、管理规定和风险防范措施、加 </w:t>
      </w:r>
      <w:r>
        <w:rPr>
          <w:rFonts w:ascii="宋体" w:hAnsi="宋体" w:eastAsia="宋体" w:cs="宋体"/>
          <w:spacing w:val="-1"/>
          <w:sz w:val="21"/>
          <w:szCs w:val="21"/>
        </w:rPr>
        <w:t>强对技术操作人员的培训和考核，规范人员操作行为，严格按照技术操作规范开展技术操作提供依据。</w:t>
      </w:r>
      <w:r>
        <w:rPr>
          <w:rFonts w:ascii="宋体" w:hAnsi="宋体" w:eastAsia="宋体" w:cs="宋体"/>
          <w:spacing w:val="18"/>
          <w:sz w:val="21"/>
          <w:szCs w:val="21"/>
        </w:rPr>
        <w:t xml:space="preserve"> </w:t>
      </w:r>
      <w:r>
        <w:rPr>
          <w:rFonts w:ascii="宋体" w:hAnsi="宋体" w:eastAsia="宋体" w:cs="宋体"/>
          <w:spacing w:val="2"/>
          <w:sz w:val="21"/>
          <w:szCs w:val="21"/>
        </w:rPr>
        <w:t xml:space="preserve">也为各级卫生健康行政部门和中医药主管部门要充分运用信息化等手段加强对银质针医疗技术应用的 </w:t>
      </w:r>
      <w:r>
        <w:rPr>
          <w:rFonts w:ascii="宋体" w:hAnsi="宋体" w:eastAsia="宋体" w:cs="宋体"/>
          <w:spacing w:val="-8"/>
          <w:sz w:val="21"/>
          <w:szCs w:val="21"/>
        </w:rPr>
        <w:t>事中事后监管，</w:t>
      </w:r>
      <w:r>
        <w:rPr>
          <w:rFonts w:ascii="宋体" w:hAnsi="宋体" w:eastAsia="宋体" w:cs="宋体"/>
          <w:spacing w:val="-22"/>
          <w:sz w:val="21"/>
          <w:szCs w:val="21"/>
        </w:rPr>
        <w:t xml:space="preserve"> </w:t>
      </w:r>
      <w:r>
        <w:rPr>
          <w:rFonts w:ascii="宋体" w:hAnsi="宋体" w:eastAsia="宋体" w:cs="宋体"/>
          <w:spacing w:val="-8"/>
          <w:sz w:val="21"/>
          <w:szCs w:val="21"/>
        </w:rPr>
        <w:t>保证医疗质量， 防范医疗风险提</w:t>
      </w:r>
      <w:r>
        <w:rPr>
          <w:rFonts w:ascii="宋体" w:hAnsi="宋体" w:eastAsia="宋体" w:cs="宋体"/>
          <w:spacing w:val="-9"/>
          <w:sz w:val="21"/>
          <w:szCs w:val="21"/>
        </w:rPr>
        <w:t>供依据。</w:t>
      </w:r>
    </w:p>
    <w:p>
      <w:pPr>
        <w:spacing w:before="61" w:line="247" w:lineRule="auto"/>
        <w:ind w:right="74" w:firstLine="420"/>
        <w:jc w:val="both"/>
        <w:rPr>
          <w:rFonts w:ascii="宋体" w:hAnsi="宋体" w:eastAsia="宋体" w:cs="宋体"/>
          <w:sz w:val="21"/>
          <w:szCs w:val="21"/>
        </w:rPr>
      </w:pPr>
      <w:r>
        <w:rPr>
          <w:rFonts w:ascii="宋体" w:hAnsi="宋体" w:eastAsia="宋体" w:cs="宋体"/>
          <w:spacing w:val="-2"/>
          <w:sz w:val="21"/>
          <w:szCs w:val="21"/>
        </w:rPr>
        <w:t>本文件旨在规范密集型银质针疗法治疗退变性腰椎管狭窄症技</w:t>
      </w:r>
      <w:r>
        <w:rPr>
          <w:rFonts w:ascii="宋体" w:hAnsi="宋体" w:eastAsia="宋体" w:cs="宋体"/>
          <w:spacing w:val="-3"/>
          <w:sz w:val="21"/>
          <w:szCs w:val="21"/>
        </w:rPr>
        <w:t>术，拓展银质针服务能力，为人民群</w:t>
      </w:r>
      <w:r>
        <w:rPr>
          <w:rFonts w:ascii="宋体" w:hAnsi="宋体" w:eastAsia="宋体" w:cs="宋体"/>
          <w:sz w:val="21"/>
          <w:szCs w:val="21"/>
        </w:rPr>
        <w:t xml:space="preserve"> 众提供安全、有效的 银质针疗法，同时为行业主管部门科学评价 银质针病房服务</w:t>
      </w:r>
      <w:r>
        <w:rPr>
          <w:rFonts w:ascii="宋体" w:hAnsi="宋体" w:eastAsia="宋体" w:cs="宋体"/>
          <w:spacing w:val="-1"/>
          <w:sz w:val="21"/>
          <w:szCs w:val="21"/>
        </w:rPr>
        <w:t>能力提供参考。</w:t>
      </w:r>
    </w:p>
    <w:p>
      <w:pPr>
        <w:spacing w:line="247" w:lineRule="auto"/>
        <w:rPr>
          <w:rFonts w:ascii="宋体" w:hAnsi="宋体" w:eastAsia="宋体" w:cs="宋体"/>
          <w:sz w:val="21"/>
          <w:szCs w:val="21"/>
        </w:rPr>
        <w:sectPr>
          <w:headerReference r:id="rId7" w:type="default"/>
          <w:footerReference r:id="rId8" w:type="default"/>
          <w:pgSz w:w="11907" w:h="16839"/>
          <w:pgMar w:top="1659" w:right="1054" w:bottom="1309" w:left="1427" w:header="1448" w:footer="1133" w:gutter="0"/>
          <w:cols w:space="720" w:num="1"/>
        </w:sectPr>
      </w:pPr>
    </w:p>
    <w:p>
      <w:pPr>
        <w:spacing w:line="331" w:lineRule="auto"/>
        <w:rPr>
          <w:rFonts w:ascii="Arial"/>
          <w:sz w:val="21"/>
        </w:rPr>
      </w:pPr>
    </w:p>
    <w:p>
      <w:pPr>
        <w:spacing w:line="332" w:lineRule="auto"/>
        <w:rPr>
          <w:rFonts w:ascii="Arial"/>
          <w:sz w:val="21"/>
        </w:rPr>
      </w:pPr>
    </w:p>
    <w:p>
      <w:pPr>
        <w:pStyle w:val="2"/>
        <w:spacing w:before="101" w:line="224" w:lineRule="auto"/>
        <w:ind w:left="682"/>
        <w:rPr>
          <w:sz w:val="31"/>
          <w:szCs w:val="31"/>
        </w:rPr>
      </w:pPr>
      <w:r>
        <w:rPr>
          <w:spacing w:val="9"/>
          <w:sz w:val="31"/>
          <w:szCs w:val="31"/>
        </w:rPr>
        <w:t>密集型银质针疗法治疗退变性腰椎管狭窄症技术操作规范</w:t>
      </w:r>
    </w:p>
    <w:p>
      <w:pPr>
        <w:spacing w:line="264" w:lineRule="auto"/>
        <w:rPr>
          <w:rFonts w:ascii="Arial"/>
          <w:sz w:val="21"/>
        </w:rPr>
      </w:pPr>
    </w:p>
    <w:p>
      <w:pPr>
        <w:spacing w:line="265" w:lineRule="auto"/>
        <w:rPr>
          <w:rFonts w:ascii="Arial"/>
          <w:sz w:val="21"/>
        </w:rPr>
      </w:pPr>
    </w:p>
    <w:p>
      <w:pPr>
        <w:pStyle w:val="2"/>
        <w:spacing w:before="68" w:line="221" w:lineRule="auto"/>
        <w:ind w:left="12"/>
        <w:outlineLvl w:val="0"/>
        <w:rPr>
          <w:sz w:val="21"/>
          <w:szCs w:val="21"/>
        </w:rPr>
      </w:pPr>
      <w:bookmarkStart w:id="4" w:name="_Toc31606"/>
      <w:r>
        <w:rPr>
          <w:spacing w:val="-9"/>
          <w:sz w:val="21"/>
          <w:szCs w:val="21"/>
        </w:rPr>
        <w:t>1</w:t>
      </w:r>
      <w:r>
        <w:rPr>
          <w:spacing w:val="7"/>
          <w:sz w:val="21"/>
          <w:szCs w:val="21"/>
        </w:rPr>
        <w:t xml:space="preserve">  </w:t>
      </w:r>
      <w:r>
        <w:rPr>
          <w:spacing w:val="-9"/>
          <w:sz w:val="21"/>
          <w:szCs w:val="21"/>
        </w:rPr>
        <w:t>范围</w:t>
      </w:r>
      <w:bookmarkEnd w:id="4"/>
    </w:p>
    <w:p>
      <w:pPr>
        <w:spacing w:line="301" w:lineRule="auto"/>
        <w:rPr>
          <w:rFonts w:ascii="Arial"/>
          <w:sz w:val="21"/>
        </w:rPr>
      </w:pPr>
    </w:p>
    <w:p>
      <w:pPr>
        <w:spacing w:before="68" w:line="248" w:lineRule="auto"/>
        <w:ind w:left="3" w:right="58" w:firstLine="419"/>
        <w:rPr>
          <w:rFonts w:ascii="宋体" w:hAnsi="宋体" w:eastAsia="宋体" w:cs="宋体"/>
          <w:sz w:val="21"/>
          <w:szCs w:val="21"/>
        </w:rPr>
      </w:pPr>
      <w:r>
        <w:rPr>
          <w:rFonts w:ascii="宋体" w:hAnsi="宋体" w:eastAsia="宋体" w:cs="宋体"/>
          <w:spacing w:val="-2"/>
          <w:sz w:val="21"/>
          <w:szCs w:val="21"/>
        </w:rPr>
        <w:t>本文件提供了密集型银质针疗法治疗退变性腰椎管狭窄症技术</w:t>
      </w:r>
      <w:r>
        <w:rPr>
          <w:rFonts w:ascii="宋体" w:hAnsi="宋体" w:eastAsia="宋体" w:cs="宋体"/>
          <w:spacing w:val="-3"/>
          <w:sz w:val="21"/>
          <w:szCs w:val="21"/>
        </w:rPr>
        <w:t>操作规范的治疗范围、操作步骤与要</w:t>
      </w:r>
      <w:r>
        <w:rPr>
          <w:rFonts w:ascii="宋体" w:hAnsi="宋体" w:eastAsia="宋体" w:cs="宋体"/>
          <w:sz w:val="21"/>
          <w:szCs w:val="21"/>
        </w:rPr>
        <w:t xml:space="preserve"> 求、治疗时间及疗程、安全要求、注意事项</w:t>
      </w:r>
      <w:r>
        <w:rPr>
          <w:rFonts w:ascii="宋体" w:hAnsi="宋体" w:eastAsia="宋体" w:cs="宋体"/>
          <w:spacing w:val="-1"/>
          <w:sz w:val="21"/>
          <w:szCs w:val="21"/>
        </w:rPr>
        <w:t>、应急处理。</w:t>
      </w:r>
    </w:p>
    <w:p>
      <w:pPr>
        <w:spacing w:line="301" w:lineRule="auto"/>
        <w:rPr>
          <w:rFonts w:ascii="Arial"/>
          <w:sz w:val="21"/>
        </w:rPr>
      </w:pPr>
    </w:p>
    <w:p>
      <w:pPr>
        <w:spacing w:before="68" w:line="248" w:lineRule="auto"/>
        <w:ind w:left="2" w:right="58" w:firstLine="420"/>
        <w:rPr>
          <w:rFonts w:ascii="宋体" w:hAnsi="宋体" w:eastAsia="宋体" w:cs="宋体"/>
          <w:sz w:val="21"/>
          <w:szCs w:val="21"/>
        </w:rPr>
      </w:pPr>
      <w:r>
        <w:rPr>
          <w:rFonts w:ascii="宋体" w:hAnsi="宋体" w:eastAsia="宋体" w:cs="宋体"/>
          <w:spacing w:val="-2"/>
          <w:sz w:val="21"/>
          <w:szCs w:val="21"/>
        </w:rPr>
        <w:t>本文件适用于全国各级各类中医、中西医结合医疗机构、综合</w:t>
      </w:r>
      <w:r>
        <w:rPr>
          <w:rFonts w:ascii="宋体" w:hAnsi="宋体" w:eastAsia="宋体" w:cs="宋体"/>
          <w:spacing w:val="-3"/>
          <w:sz w:val="21"/>
          <w:szCs w:val="21"/>
        </w:rPr>
        <w:t>医院密集型银质针疗法治疗退变性腰</w:t>
      </w:r>
      <w:r>
        <w:rPr>
          <w:rFonts w:ascii="宋体" w:hAnsi="宋体" w:eastAsia="宋体" w:cs="宋体"/>
          <w:sz w:val="21"/>
          <w:szCs w:val="21"/>
        </w:rPr>
        <w:t xml:space="preserve"> </w:t>
      </w:r>
      <w:r>
        <w:rPr>
          <w:rFonts w:ascii="宋体" w:hAnsi="宋体" w:eastAsia="宋体" w:cs="宋体"/>
          <w:spacing w:val="-2"/>
          <w:sz w:val="21"/>
          <w:szCs w:val="21"/>
        </w:rPr>
        <w:t>椎管狭窄症技术的运用。</w:t>
      </w:r>
    </w:p>
    <w:p>
      <w:pPr>
        <w:spacing w:line="302" w:lineRule="auto"/>
        <w:rPr>
          <w:rFonts w:ascii="Arial"/>
          <w:sz w:val="21"/>
        </w:rPr>
      </w:pPr>
    </w:p>
    <w:p>
      <w:pPr>
        <w:pStyle w:val="2"/>
        <w:spacing w:before="69" w:line="220" w:lineRule="auto"/>
        <w:outlineLvl w:val="0"/>
        <w:rPr>
          <w:sz w:val="21"/>
          <w:szCs w:val="21"/>
        </w:rPr>
      </w:pPr>
      <w:bookmarkStart w:id="5" w:name="_Toc17362"/>
      <w:r>
        <w:rPr>
          <w:spacing w:val="-1"/>
          <w:sz w:val="21"/>
          <w:szCs w:val="21"/>
        </w:rPr>
        <w:t>2  规范性引用文件</w:t>
      </w:r>
      <w:bookmarkEnd w:id="5"/>
    </w:p>
    <w:p>
      <w:pPr>
        <w:spacing w:line="305" w:lineRule="auto"/>
        <w:rPr>
          <w:rFonts w:ascii="Arial"/>
          <w:sz w:val="21"/>
        </w:rPr>
      </w:pPr>
    </w:p>
    <w:p>
      <w:pPr>
        <w:spacing w:before="69" w:line="256" w:lineRule="auto"/>
        <w:ind w:firstLine="428"/>
        <w:jc w:val="both"/>
        <w:rPr>
          <w:rFonts w:ascii="宋体" w:hAnsi="宋体" w:eastAsia="宋体" w:cs="宋体"/>
          <w:sz w:val="21"/>
          <w:szCs w:val="21"/>
        </w:rPr>
      </w:pPr>
      <w:r>
        <w:rPr>
          <w:rFonts w:ascii="宋体" w:hAnsi="宋体" w:eastAsia="宋体" w:cs="宋体"/>
          <w:spacing w:val="-1"/>
          <w:sz w:val="21"/>
          <w:szCs w:val="21"/>
        </w:rPr>
        <w:t>下列文件中的内容通过文中的规范性引用而构成本文件必不可少的条款。凡是注日</w:t>
      </w:r>
      <w:r>
        <w:rPr>
          <w:rFonts w:ascii="宋体" w:hAnsi="宋体" w:eastAsia="宋体" w:cs="宋体"/>
          <w:spacing w:val="-2"/>
          <w:sz w:val="21"/>
          <w:szCs w:val="21"/>
        </w:rPr>
        <w:t>期的引用文件，</w:t>
      </w:r>
      <w:r>
        <w:rPr>
          <w:rFonts w:ascii="宋体" w:hAnsi="宋体" w:eastAsia="宋体" w:cs="宋体"/>
          <w:sz w:val="21"/>
          <w:szCs w:val="21"/>
        </w:rPr>
        <w:t xml:space="preserve"> </w:t>
      </w:r>
      <w:r>
        <w:rPr>
          <w:rFonts w:ascii="宋体" w:hAnsi="宋体" w:eastAsia="宋体" w:cs="宋体"/>
          <w:spacing w:val="-2"/>
          <w:sz w:val="21"/>
          <w:szCs w:val="21"/>
        </w:rPr>
        <w:t>仅注日期的版本适用于本文件。凡是不注日期的引用文件，其最新版本（包</w:t>
      </w:r>
      <w:r>
        <w:rPr>
          <w:rFonts w:ascii="宋体" w:hAnsi="宋体" w:eastAsia="宋体" w:cs="宋体"/>
          <w:spacing w:val="-3"/>
          <w:sz w:val="21"/>
          <w:szCs w:val="21"/>
        </w:rPr>
        <w:t>括所有的修改单）适用于本</w:t>
      </w:r>
      <w:r>
        <w:rPr>
          <w:rFonts w:ascii="宋体" w:hAnsi="宋体" w:eastAsia="宋体" w:cs="宋体"/>
          <w:sz w:val="21"/>
          <w:szCs w:val="21"/>
        </w:rPr>
        <w:t xml:space="preserve"> </w:t>
      </w:r>
      <w:r>
        <w:rPr>
          <w:rFonts w:ascii="宋体" w:hAnsi="宋体" w:eastAsia="宋体" w:cs="宋体"/>
          <w:spacing w:val="-8"/>
          <w:sz w:val="21"/>
          <w:szCs w:val="21"/>
        </w:rPr>
        <w:t>文件。</w:t>
      </w:r>
    </w:p>
    <w:p>
      <w:pPr>
        <w:spacing w:line="302" w:lineRule="auto"/>
        <w:rPr>
          <w:rFonts w:ascii="Arial"/>
          <w:sz w:val="21"/>
        </w:rPr>
      </w:pPr>
    </w:p>
    <w:p>
      <w:pPr>
        <w:spacing w:before="69" w:line="312" w:lineRule="exact"/>
        <w:ind w:left="419"/>
        <w:rPr>
          <w:rFonts w:ascii="宋体" w:hAnsi="宋体" w:eastAsia="宋体" w:cs="宋体"/>
          <w:sz w:val="21"/>
          <w:szCs w:val="21"/>
        </w:rPr>
      </w:pPr>
      <w:r>
        <w:rPr>
          <w:rFonts w:ascii="宋体" w:hAnsi="宋体" w:eastAsia="宋体" w:cs="宋体"/>
          <w:position w:val="7"/>
          <w:sz w:val="21"/>
          <w:szCs w:val="21"/>
        </w:rPr>
        <w:t>GB/T 40973-2021 针灸门诊基本服务</w:t>
      </w:r>
      <w:r>
        <w:rPr>
          <w:rFonts w:ascii="宋体" w:hAnsi="宋体" w:eastAsia="宋体" w:cs="宋体"/>
          <w:spacing w:val="-1"/>
          <w:position w:val="7"/>
          <w:sz w:val="21"/>
          <w:szCs w:val="21"/>
        </w:rPr>
        <w:t>规范</w:t>
      </w:r>
    </w:p>
    <w:p>
      <w:pPr>
        <w:spacing w:before="1" w:line="220" w:lineRule="auto"/>
        <w:ind w:left="415"/>
        <w:rPr>
          <w:rFonts w:ascii="宋体" w:hAnsi="宋体" w:eastAsia="宋体" w:cs="宋体"/>
          <w:sz w:val="21"/>
          <w:szCs w:val="21"/>
        </w:rPr>
      </w:pPr>
      <w:r>
        <w:rPr>
          <w:rFonts w:ascii="宋体" w:hAnsi="宋体" w:eastAsia="宋体" w:cs="宋体"/>
          <w:spacing w:val="-1"/>
          <w:sz w:val="21"/>
          <w:szCs w:val="21"/>
        </w:rPr>
        <w:t>WS/T 313</w:t>
      </w:r>
      <w:r>
        <w:rPr>
          <w:rFonts w:ascii="宋体" w:hAnsi="宋体" w:eastAsia="宋体" w:cs="宋体"/>
          <w:spacing w:val="9"/>
          <w:sz w:val="21"/>
          <w:szCs w:val="21"/>
        </w:rPr>
        <w:t xml:space="preserve">  </w:t>
      </w:r>
      <w:r>
        <w:rPr>
          <w:rFonts w:ascii="宋体" w:hAnsi="宋体" w:eastAsia="宋体" w:cs="宋体"/>
          <w:spacing w:val="-1"/>
          <w:sz w:val="21"/>
          <w:szCs w:val="21"/>
        </w:rPr>
        <w:t>医务人员手卫生规范</w:t>
      </w:r>
    </w:p>
    <w:p>
      <w:pPr>
        <w:spacing w:before="61" w:line="312" w:lineRule="exact"/>
        <w:ind w:left="417"/>
        <w:rPr>
          <w:rFonts w:ascii="宋体" w:hAnsi="宋体" w:eastAsia="宋体" w:cs="宋体"/>
          <w:sz w:val="21"/>
          <w:szCs w:val="21"/>
        </w:rPr>
      </w:pPr>
      <w:r>
        <w:rPr>
          <w:rFonts w:ascii="宋体" w:hAnsi="宋体" w:eastAsia="宋体" w:cs="宋体"/>
          <w:color w:val="333333"/>
          <w:position w:val="7"/>
          <w:sz w:val="21"/>
          <w:szCs w:val="21"/>
        </w:rPr>
        <w:t>DB45</w:t>
      </w:r>
      <w:r>
        <w:rPr>
          <w:rFonts w:ascii="宋体" w:hAnsi="宋体" w:eastAsia="宋体" w:cs="宋体"/>
          <w:position w:val="7"/>
          <w:sz w:val="21"/>
          <w:szCs w:val="21"/>
        </w:rPr>
        <w:t>/</w:t>
      </w:r>
      <w:r>
        <w:rPr>
          <w:rFonts w:ascii="宋体" w:hAnsi="宋体" w:eastAsia="宋体" w:cs="宋体"/>
          <w:color w:val="333333"/>
          <w:position w:val="7"/>
          <w:sz w:val="21"/>
          <w:szCs w:val="21"/>
        </w:rPr>
        <w:t>T2137 银质针治疗技术操作</w:t>
      </w:r>
      <w:r>
        <w:rPr>
          <w:rFonts w:ascii="宋体" w:hAnsi="宋体" w:eastAsia="宋体" w:cs="宋体"/>
          <w:color w:val="333333"/>
          <w:spacing w:val="-1"/>
          <w:position w:val="7"/>
          <w:sz w:val="21"/>
          <w:szCs w:val="21"/>
        </w:rPr>
        <w:t>规范</w:t>
      </w:r>
    </w:p>
    <w:p>
      <w:pPr>
        <w:spacing w:before="1" w:line="220" w:lineRule="auto"/>
        <w:ind w:left="419"/>
        <w:rPr>
          <w:rFonts w:ascii="宋体" w:hAnsi="宋体" w:eastAsia="宋体" w:cs="宋体"/>
          <w:sz w:val="21"/>
          <w:szCs w:val="21"/>
        </w:rPr>
      </w:pPr>
      <w:r>
        <w:rPr>
          <w:rFonts w:ascii="宋体" w:hAnsi="宋体" w:eastAsia="宋体" w:cs="宋体"/>
          <w:color w:val="333333"/>
          <w:sz w:val="21"/>
          <w:szCs w:val="21"/>
        </w:rPr>
        <w:t>T/CMAM ZH1-2023 银质针技术操作</w:t>
      </w:r>
      <w:r>
        <w:rPr>
          <w:rFonts w:ascii="宋体" w:hAnsi="宋体" w:eastAsia="宋体" w:cs="宋体"/>
          <w:color w:val="333333"/>
          <w:spacing w:val="-1"/>
          <w:sz w:val="21"/>
          <w:szCs w:val="21"/>
        </w:rPr>
        <w:t>规范</w:t>
      </w:r>
    </w:p>
    <w:p>
      <w:pPr>
        <w:spacing w:line="302" w:lineRule="auto"/>
        <w:rPr>
          <w:rFonts w:ascii="Arial"/>
          <w:sz w:val="21"/>
        </w:rPr>
      </w:pPr>
    </w:p>
    <w:p>
      <w:pPr>
        <w:pStyle w:val="2"/>
        <w:spacing w:before="68" w:line="221" w:lineRule="auto"/>
        <w:ind w:left="1"/>
        <w:outlineLvl w:val="0"/>
        <w:rPr>
          <w:sz w:val="21"/>
          <w:szCs w:val="21"/>
        </w:rPr>
      </w:pPr>
      <w:bookmarkStart w:id="6" w:name="_Toc14211"/>
      <w:r>
        <w:rPr>
          <w:spacing w:val="-1"/>
          <w:sz w:val="21"/>
          <w:szCs w:val="21"/>
        </w:rPr>
        <w:t>3  术语和定义</w:t>
      </w:r>
      <w:bookmarkEnd w:id="6"/>
    </w:p>
    <w:p>
      <w:pPr>
        <w:spacing w:line="302" w:lineRule="auto"/>
        <w:rPr>
          <w:rFonts w:ascii="Arial"/>
          <w:sz w:val="21"/>
        </w:rPr>
      </w:pPr>
    </w:p>
    <w:p>
      <w:pPr>
        <w:spacing w:before="69" w:line="220" w:lineRule="auto"/>
        <w:ind w:left="428"/>
        <w:rPr>
          <w:rFonts w:ascii="宋体" w:hAnsi="宋体" w:eastAsia="宋体" w:cs="宋体"/>
          <w:sz w:val="21"/>
          <w:szCs w:val="21"/>
        </w:rPr>
      </w:pPr>
      <w:r>
        <w:rPr>
          <w:rFonts w:ascii="宋体" w:hAnsi="宋体" w:eastAsia="宋体" w:cs="宋体"/>
          <w:spacing w:val="-3"/>
          <w:sz w:val="21"/>
          <w:szCs w:val="21"/>
        </w:rPr>
        <w:t>下列术语和定义适用于本文件。</w:t>
      </w:r>
    </w:p>
    <w:p>
      <w:pPr>
        <w:spacing w:line="336" w:lineRule="auto"/>
        <w:rPr>
          <w:rFonts w:ascii="Arial"/>
          <w:sz w:val="21"/>
        </w:rPr>
      </w:pPr>
    </w:p>
    <w:p>
      <w:pPr>
        <w:pStyle w:val="2"/>
        <w:spacing w:before="69" w:line="184" w:lineRule="auto"/>
        <w:ind w:left="1"/>
        <w:outlineLvl w:val="1"/>
        <w:rPr>
          <w:sz w:val="21"/>
          <w:szCs w:val="21"/>
        </w:rPr>
      </w:pPr>
      <w:bookmarkStart w:id="7" w:name="_Toc1559"/>
      <w:r>
        <w:rPr>
          <w:spacing w:val="-2"/>
          <w:sz w:val="21"/>
          <w:szCs w:val="21"/>
        </w:rPr>
        <w:t>3.1</w:t>
      </w:r>
      <w:bookmarkEnd w:id="7"/>
    </w:p>
    <w:p>
      <w:pPr>
        <w:spacing w:line="310" w:lineRule="auto"/>
        <w:rPr>
          <w:rFonts w:ascii="Arial"/>
          <w:sz w:val="21"/>
        </w:rPr>
      </w:pPr>
    </w:p>
    <w:p>
      <w:pPr>
        <w:pStyle w:val="2"/>
        <w:spacing w:before="70" w:line="221" w:lineRule="auto"/>
        <w:ind w:left="422"/>
        <w:rPr>
          <w:sz w:val="21"/>
          <w:szCs w:val="21"/>
        </w:rPr>
      </w:pPr>
      <w:r>
        <w:rPr>
          <w:spacing w:val="1"/>
          <w:sz w:val="21"/>
          <w:szCs w:val="21"/>
          <w14:textOutline w14:w="3831" w14:cap="flat" w14:cmpd="sng">
            <w14:solidFill>
              <w14:srgbClr w14:val="000000"/>
            </w14:solidFill>
            <w14:prstDash w14:val="solid"/>
            <w14:miter w14:val="10"/>
          </w14:textOutline>
        </w:rPr>
        <w:t>银质针</w:t>
      </w:r>
      <w:r>
        <w:rPr>
          <w:spacing w:val="1"/>
          <w:sz w:val="21"/>
          <w:szCs w:val="21"/>
        </w:rPr>
        <w:t xml:space="preserve">  </w:t>
      </w:r>
      <w:r>
        <w:rPr>
          <w:sz w:val="21"/>
          <w:szCs w:val="21"/>
          <w14:textOutline w14:w="3831" w14:cap="flat" w14:cmpd="sng">
            <w14:solidFill>
              <w14:srgbClr w14:val="000000"/>
            </w14:solidFill>
            <w14:prstDash w14:val="solid"/>
            <w14:miter w14:val="10"/>
          </w14:textOutline>
        </w:rPr>
        <w:t>Silver</w:t>
      </w:r>
      <w:r>
        <w:rPr>
          <w:spacing w:val="1"/>
          <w:sz w:val="21"/>
          <w:szCs w:val="21"/>
        </w:rPr>
        <w:t xml:space="preserve"> </w:t>
      </w:r>
      <w:r>
        <w:rPr>
          <w:sz w:val="21"/>
          <w:szCs w:val="21"/>
          <w14:textOutline w14:w="3831" w14:cap="flat" w14:cmpd="sng">
            <w14:solidFill>
              <w14:srgbClr w14:val="000000"/>
            </w14:solidFill>
            <w14:prstDash w14:val="solid"/>
            <w14:miter w14:val="10"/>
          </w14:textOutline>
        </w:rPr>
        <w:t>Needles</w:t>
      </w:r>
    </w:p>
    <w:p>
      <w:pPr>
        <w:spacing w:before="62" w:line="256" w:lineRule="auto"/>
        <w:ind w:left="5" w:right="57" w:firstLine="418"/>
        <w:rPr>
          <w:rFonts w:ascii="宋体" w:hAnsi="宋体" w:eastAsia="宋体" w:cs="宋体"/>
          <w:sz w:val="21"/>
          <w:szCs w:val="21"/>
        </w:rPr>
      </w:pPr>
      <w:r>
        <w:rPr>
          <w:rFonts w:ascii="宋体" w:hAnsi="宋体" w:eastAsia="宋体" w:cs="宋体"/>
          <w:spacing w:val="-6"/>
          <w:sz w:val="21"/>
          <w:szCs w:val="21"/>
        </w:rPr>
        <w:t>从古代“九针”中的体针和长针发展而成的一种针具，针粗 0.8mm 或</w:t>
      </w:r>
      <w:r>
        <w:rPr>
          <w:rFonts w:ascii="宋体" w:hAnsi="宋体" w:eastAsia="宋体" w:cs="宋体"/>
          <w:spacing w:val="22"/>
          <w:sz w:val="21"/>
          <w:szCs w:val="21"/>
        </w:rPr>
        <w:t xml:space="preserve"> </w:t>
      </w:r>
      <w:r>
        <w:rPr>
          <w:rFonts w:ascii="宋体" w:hAnsi="宋体" w:eastAsia="宋体" w:cs="宋体"/>
          <w:spacing w:val="-6"/>
          <w:sz w:val="21"/>
          <w:szCs w:val="21"/>
        </w:rPr>
        <w:t>1.1mm,长度有110mm、1</w:t>
      </w:r>
      <w:r>
        <w:rPr>
          <w:rFonts w:ascii="宋体" w:hAnsi="宋体" w:eastAsia="宋体" w:cs="宋体"/>
          <w:spacing w:val="-7"/>
          <w:sz w:val="21"/>
          <w:szCs w:val="21"/>
        </w:rPr>
        <w:t>30mm、</w:t>
      </w:r>
      <w:r>
        <w:rPr>
          <w:rFonts w:ascii="宋体" w:hAnsi="宋体" w:eastAsia="宋体" w:cs="宋体"/>
          <w:sz w:val="21"/>
          <w:szCs w:val="21"/>
        </w:rPr>
        <w:t xml:space="preserve"> </w:t>
      </w:r>
      <w:r>
        <w:rPr>
          <w:rFonts w:ascii="宋体" w:hAnsi="宋体" w:eastAsia="宋体" w:cs="宋体"/>
          <w:spacing w:val="-6"/>
          <w:sz w:val="21"/>
          <w:szCs w:val="21"/>
        </w:rPr>
        <w:t>150mm、170mm、190mm、210mm等规格， 主要成分是80%以上的白银、</w:t>
      </w:r>
      <w:r>
        <w:rPr>
          <w:rFonts w:ascii="宋体" w:hAnsi="宋体" w:eastAsia="宋体" w:cs="宋体"/>
          <w:spacing w:val="-35"/>
          <w:sz w:val="21"/>
          <w:szCs w:val="21"/>
        </w:rPr>
        <w:t xml:space="preserve"> </w:t>
      </w:r>
      <w:r>
        <w:rPr>
          <w:rFonts w:ascii="宋体" w:hAnsi="宋体" w:eastAsia="宋体" w:cs="宋体"/>
          <w:spacing w:val="-6"/>
          <w:sz w:val="21"/>
          <w:szCs w:val="21"/>
        </w:rPr>
        <w:t>20%以下红铜、锌等，</w:t>
      </w:r>
      <w:r>
        <w:rPr>
          <w:rFonts w:ascii="宋体" w:hAnsi="宋体" w:eastAsia="宋体" w:cs="宋体"/>
          <w:spacing w:val="-31"/>
          <w:sz w:val="21"/>
          <w:szCs w:val="21"/>
        </w:rPr>
        <w:t xml:space="preserve"> </w:t>
      </w:r>
      <w:r>
        <w:rPr>
          <w:rFonts w:ascii="宋体" w:hAnsi="宋体" w:eastAsia="宋体" w:cs="宋体"/>
          <w:spacing w:val="-6"/>
          <w:sz w:val="21"/>
          <w:szCs w:val="21"/>
        </w:rPr>
        <w:t>具有良好的导</w:t>
      </w:r>
      <w:r>
        <w:rPr>
          <w:rFonts w:ascii="宋体" w:hAnsi="宋体" w:eastAsia="宋体" w:cs="宋体"/>
          <w:sz w:val="21"/>
          <w:szCs w:val="21"/>
        </w:rPr>
        <w:t xml:space="preserve"> </w:t>
      </w:r>
      <w:r>
        <w:rPr>
          <w:rFonts w:ascii="宋体" w:hAnsi="宋体" w:eastAsia="宋体" w:cs="宋体"/>
          <w:spacing w:val="-2"/>
          <w:sz w:val="21"/>
          <w:szCs w:val="21"/>
        </w:rPr>
        <w:t>热性能。包括白银含量85%以上电热型银质针。</w:t>
      </w:r>
    </w:p>
    <w:p>
      <w:pPr>
        <w:spacing w:line="336" w:lineRule="auto"/>
        <w:rPr>
          <w:rFonts w:ascii="Arial"/>
          <w:sz w:val="21"/>
        </w:rPr>
      </w:pPr>
    </w:p>
    <w:p>
      <w:pPr>
        <w:pStyle w:val="2"/>
        <w:spacing w:before="69" w:line="184" w:lineRule="auto"/>
        <w:ind w:left="1"/>
        <w:rPr>
          <w:sz w:val="21"/>
          <w:szCs w:val="21"/>
        </w:rPr>
      </w:pPr>
      <w:r>
        <w:rPr>
          <w:spacing w:val="-2"/>
          <w:sz w:val="21"/>
          <w:szCs w:val="21"/>
        </w:rPr>
        <w:t>3.2</w:t>
      </w:r>
    </w:p>
    <w:p>
      <w:pPr>
        <w:spacing w:line="311" w:lineRule="auto"/>
        <w:rPr>
          <w:rFonts w:ascii="Arial"/>
          <w:sz w:val="21"/>
        </w:rPr>
      </w:pPr>
    </w:p>
    <w:p>
      <w:pPr>
        <w:pStyle w:val="2"/>
        <w:spacing w:before="69" w:line="216" w:lineRule="auto"/>
        <w:ind w:left="422"/>
        <w:rPr>
          <w:sz w:val="21"/>
          <w:szCs w:val="21"/>
        </w:rPr>
      </w:pPr>
      <w:r>
        <w:rPr>
          <w:spacing w:val="1"/>
          <w:sz w:val="21"/>
          <w:szCs w:val="21"/>
          <w14:textOutline w14:w="3831" w14:cap="flat" w14:cmpd="sng">
            <w14:solidFill>
              <w14:srgbClr w14:val="000000"/>
            </w14:solidFill>
            <w14:prstDash w14:val="solid"/>
            <w14:miter w14:val="10"/>
          </w14:textOutline>
        </w:rPr>
        <w:t>银质针疗法</w:t>
      </w:r>
      <w:r>
        <w:rPr>
          <w:spacing w:val="1"/>
          <w:sz w:val="21"/>
          <w:szCs w:val="21"/>
        </w:rPr>
        <w:t xml:space="preserve">  </w:t>
      </w:r>
      <w:r>
        <w:rPr>
          <w:sz w:val="21"/>
          <w:szCs w:val="21"/>
          <w14:textOutline w14:w="3831" w14:cap="flat" w14:cmpd="sng">
            <w14:solidFill>
              <w14:srgbClr w14:val="000000"/>
            </w14:solidFill>
            <w14:prstDash w14:val="solid"/>
            <w14:miter w14:val="10"/>
          </w14:textOutline>
        </w:rPr>
        <w:t>Silver</w:t>
      </w:r>
      <w:r>
        <w:rPr>
          <w:spacing w:val="1"/>
          <w:sz w:val="21"/>
          <w:szCs w:val="21"/>
        </w:rPr>
        <w:t xml:space="preserve"> </w:t>
      </w:r>
      <w:r>
        <w:rPr>
          <w:sz w:val="21"/>
          <w:szCs w:val="21"/>
          <w14:textOutline w14:w="3831" w14:cap="flat" w14:cmpd="sng">
            <w14:solidFill>
              <w14:srgbClr w14:val="000000"/>
            </w14:solidFill>
            <w14:prstDash w14:val="solid"/>
            <w14:miter w14:val="10"/>
          </w14:textOutline>
        </w:rPr>
        <w:t>needle</w:t>
      </w:r>
      <w:r>
        <w:rPr>
          <w:spacing w:val="1"/>
          <w:sz w:val="21"/>
          <w:szCs w:val="21"/>
        </w:rPr>
        <w:t xml:space="preserve"> </w:t>
      </w:r>
      <w:r>
        <w:rPr>
          <w:sz w:val="21"/>
          <w:szCs w:val="21"/>
          <w14:textOutline w14:w="3831" w14:cap="flat" w14:cmpd="sng">
            <w14:solidFill>
              <w14:srgbClr w14:val="000000"/>
            </w14:solidFill>
            <w14:prstDash w14:val="solid"/>
            <w14:miter w14:val="10"/>
          </w14:textOutline>
        </w:rPr>
        <w:t>therapy</w:t>
      </w:r>
    </w:p>
    <w:p>
      <w:pPr>
        <w:spacing w:before="67" w:line="247" w:lineRule="auto"/>
        <w:ind w:left="2" w:right="57" w:firstLine="418"/>
        <w:rPr>
          <w:rFonts w:ascii="宋体" w:hAnsi="宋体" w:eastAsia="宋体" w:cs="宋体"/>
          <w:sz w:val="21"/>
          <w:szCs w:val="21"/>
        </w:rPr>
      </w:pPr>
      <w:r>
        <w:rPr>
          <w:rFonts w:ascii="宋体" w:hAnsi="宋体" w:eastAsia="宋体" w:cs="宋体"/>
          <w:spacing w:val="-2"/>
          <w:sz w:val="21"/>
          <w:szCs w:val="21"/>
        </w:rPr>
        <w:t>对肌肉、肌腱、关节囊进行深部针刺，具有消除局部炎症反应，改</w:t>
      </w:r>
      <w:r>
        <w:rPr>
          <w:rFonts w:ascii="宋体" w:hAnsi="宋体" w:eastAsia="宋体" w:cs="宋体"/>
          <w:spacing w:val="-3"/>
          <w:sz w:val="21"/>
          <w:szCs w:val="21"/>
        </w:rPr>
        <w:t>善局部血液循环，解除局部肌肉</w:t>
      </w:r>
      <w:r>
        <w:rPr>
          <w:rFonts w:ascii="宋体" w:hAnsi="宋体" w:eastAsia="宋体" w:cs="宋体"/>
          <w:sz w:val="21"/>
          <w:szCs w:val="21"/>
        </w:rPr>
        <w:t xml:space="preserve"> </w:t>
      </w:r>
      <w:r>
        <w:rPr>
          <w:rFonts w:ascii="宋体" w:hAnsi="宋体" w:eastAsia="宋体" w:cs="宋体"/>
          <w:spacing w:val="-6"/>
          <w:sz w:val="21"/>
          <w:szCs w:val="21"/>
        </w:rPr>
        <w:t>痉挛， 达到荣养筋骨疗法的针刺治疗方法。</w:t>
      </w:r>
    </w:p>
    <w:p>
      <w:pPr>
        <w:spacing w:line="335" w:lineRule="auto"/>
        <w:rPr>
          <w:rFonts w:ascii="Arial"/>
          <w:sz w:val="21"/>
        </w:rPr>
      </w:pPr>
    </w:p>
    <w:p>
      <w:pPr>
        <w:pStyle w:val="2"/>
        <w:spacing w:before="69" w:line="184" w:lineRule="auto"/>
        <w:ind w:left="1"/>
        <w:rPr>
          <w:sz w:val="21"/>
          <w:szCs w:val="21"/>
        </w:rPr>
      </w:pPr>
      <w:r>
        <w:rPr>
          <w:spacing w:val="-3"/>
          <w:sz w:val="21"/>
          <w:szCs w:val="21"/>
        </w:rPr>
        <w:t>3.3</w:t>
      </w:r>
    </w:p>
    <w:p>
      <w:pPr>
        <w:spacing w:line="184" w:lineRule="auto"/>
        <w:rPr>
          <w:sz w:val="21"/>
          <w:szCs w:val="21"/>
        </w:rPr>
        <w:sectPr>
          <w:headerReference r:id="rId9" w:type="default"/>
          <w:footerReference r:id="rId10" w:type="default"/>
          <w:pgSz w:w="11907" w:h="16839"/>
          <w:pgMar w:top="1656" w:right="1070" w:bottom="1168" w:left="1425" w:header="1445" w:footer="992" w:gutter="0"/>
          <w:cols w:space="720" w:num="1"/>
        </w:sectPr>
      </w:pPr>
    </w:p>
    <w:p>
      <w:pPr>
        <w:pStyle w:val="2"/>
        <w:spacing w:before="84" w:line="216" w:lineRule="auto"/>
        <w:ind w:left="426"/>
        <w:rPr>
          <w:sz w:val="21"/>
          <w:szCs w:val="21"/>
        </w:rPr>
      </w:pPr>
      <w:r>
        <w:rPr>
          <w:sz w:val="21"/>
          <w:szCs w:val="21"/>
          <w14:textOutline w14:w="3831" w14:cap="flat" w14:cmpd="sng">
            <w14:solidFill>
              <w14:srgbClr w14:val="000000"/>
            </w14:solidFill>
            <w14:prstDash w14:val="solid"/>
            <w14:miter w14:val="10"/>
          </w14:textOutline>
        </w:rPr>
        <w:t>退变性腰椎管狭窄症</w:t>
      </w:r>
      <w:r>
        <w:rPr>
          <w:sz w:val="21"/>
          <w:szCs w:val="21"/>
        </w:rPr>
        <w:t xml:space="preserve"> </w:t>
      </w:r>
      <w:r>
        <w:rPr>
          <w:sz w:val="21"/>
          <w:szCs w:val="21"/>
          <w14:textOutline w14:w="3831" w14:cap="flat" w14:cmpd="sng">
            <w14:solidFill>
              <w14:srgbClr w14:val="000000"/>
            </w14:solidFill>
            <w14:prstDash w14:val="solid"/>
            <w14:miter w14:val="10"/>
          </w14:textOutline>
        </w:rPr>
        <w:t>Degenerative</w:t>
      </w:r>
      <w:r>
        <w:rPr>
          <w:spacing w:val="44"/>
          <w:sz w:val="21"/>
          <w:szCs w:val="21"/>
        </w:rPr>
        <w:t xml:space="preserve"> </w:t>
      </w:r>
      <w:r>
        <w:rPr>
          <w:sz w:val="21"/>
          <w:szCs w:val="21"/>
          <w14:textOutline w14:w="3831" w14:cap="flat" w14:cmpd="sng">
            <w14:solidFill>
              <w14:srgbClr w14:val="000000"/>
            </w14:solidFill>
            <w14:prstDash w14:val="solid"/>
            <w14:miter w14:val="10"/>
          </w14:textOutline>
        </w:rPr>
        <w:t>lumbar</w:t>
      </w:r>
      <w:r>
        <w:rPr>
          <w:spacing w:val="-1"/>
          <w:sz w:val="21"/>
          <w:szCs w:val="21"/>
        </w:rPr>
        <w:t xml:space="preserve"> </w:t>
      </w:r>
      <w:r>
        <w:rPr>
          <w:spacing w:val="-1"/>
          <w:sz w:val="21"/>
          <w:szCs w:val="21"/>
          <w14:textOutline w14:w="3831" w14:cap="flat" w14:cmpd="sng">
            <w14:solidFill>
              <w14:srgbClr w14:val="000000"/>
            </w14:solidFill>
            <w14:prstDash w14:val="solid"/>
            <w14:miter w14:val="10"/>
          </w14:textOutline>
        </w:rPr>
        <w:t>spinal</w:t>
      </w:r>
      <w:r>
        <w:rPr>
          <w:spacing w:val="-1"/>
          <w:sz w:val="21"/>
          <w:szCs w:val="21"/>
        </w:rPr>
        <w:t xml:space="preserve"> </w:t>
      </w:r>
      <w:r>
        <w:rPr>
          <w:spacing w:val="-1"/>
          <w:sz w:val="21"/>
          <w:szCs w:val="21"/>
          <w14:textOutline w14:w="3831" w14:cap="flat" w14:cmpd="sng">
            <w14:solidFill>
              <w14:srgbClr w14:val="000000"/>
            </w14:solidFill>
            <w14:prstDash w14:val="solid"/>
            <w14:miter w14:val="10"/>
          </w14:textOutline>
        </w:rPr>
        <w:t>stenosis</w:t>
      </w:r>
    </w:p>
    <w:p>
      <w:pPr>
        <w:spacing w:before="66" w:line="247" w:lineRule="auto"/>
        <w:ind w:left="23" w:right="47" w:firstLine="427"/>
        <w:rPr>
          <w:rFonts w:ascii="宋体" w:hAnsi="宋体" w:eastAsia="宋体" w:cs="宋体"/>
          <w:sz w:val="21"/>
          <w:szCs w:val="21"/>
        </w:rPr>
      </w:pPr>
      <w:r>
        <w:rPr>
          <w:rFonts w:ascii="宋体" w:hAnsi="宋体" w:eastAsia="宋体" w:cs="宋体"/>
          <w:spacing w:val="-9"/>
          <w:sz w:val="21"/>
          <w:szCs w:val="21"/>
        </w:rPr>
        <w:t>由于退行性病变引起椎管、侧隐窝、神经根管等狭窄，进而引起腰椎神经组织受压、血液循环障碍，</w:t>
      </w:r>
      <w:r>
        <w:rPr>
          <w:rFonts w:ascii="宋体" w:hAnsi="宋体" w:eastAsia="宋体" w:cs="宋体"/>
          <w:spacing w:val="12"/>
          <w:sz w:val="21"/>
          <w:szCs w:val="21"/>
        </w:rPr>
        <w:t xml:space="preserve"> </w:t>
      </w:r>
      <w:r>
        <w:rPr>
          <w:rFonts w:ascii="宋体" w:hAnsi="宋体" w:eastAsia="宋体" w:cs="宋体"/>
          <w:spacing w:val="-1"/>
          <w:sz w:val="21"/>
          <w:szCs w:val="21"/>
        </w:rPr>
        <w:t>出现以神经源性跛行或下肢神经根性疼痛为主要特征的临床综合征。</w:t>
      </w:r>
    </w:p>
    <w:p>
      <w:pPr>
        <w:spacing w:line="303" w:lineRule="auto"/>
        <w:rPr>
          <w:rFonts w:ascii="Arial"/>
          <w:sz w:val="21"/>
        </w:rPr>
      </w:pPr>
    </w:p>
    <w:p>
      <w:pPr>
        <w:pStyle w:val="2"/>
        <w:spacing w:before="68" w:line="219" w:lineRule="auto"/>
        <w:outlineLvl w:val="0"/>
        <w:rPr>
          <w:sz w:val="21"/>
          <w:szCs w:val="21"/>
        </w:rPr>
      </w:pPr>
      <w:bookmarkStart w:id="8" w:name="_Toc11672"/>
      <w:r>
        <w:rPr>
          <w:rFonts w:ascii="Times New Roman" w:hAnsi="Times New Roman" w:eastAsia="Times New Roman" w:cs="Times New Roman"/>
          <w:spacing w:val="-4"/>
          <w:sz w:val="21"/>
          <w:szCs w:val="21"/>
        </w:rPr>
        <w:t>4</w:t>
      </w:r>
      <w:r>
        <w:rPr>
          <w:rFonts w:ascii="Times New Roman" w:hAnsi="Times New Roman" w:eastAsia="Times New Roman" w:cs="Times New Roman"/>
          <w:spacing w:val="3"/>
          <w:sz w:val="21"/>
          <w:szCs w:val="21"/>
        </w:rPr>
        <w:t xml:space="preserve">    </w:t>
      </w:r>
      <w:r>
        <w:rPr>
          <w:spacing w:val="-4"/>
          <w:sz w:val="21"/>
          <w:szCs w:val="21"/>
        </w:rPr>
        <w:t>适应症</w:t>
      </w:r>
      <w:bookmarkEnd w:id="8"/>
    </w:p>
    <w:p>
      <w:pPr>
        <w:spacing w:line="304" w:lineRule="auto"/>
        <w:rPr>
          <w:rFonts w:ascii="Arial"/>
          <w:sz w:val="21"/>
        </w:rPr>
      </w:pPr>
    </w:p>
    <w:p>
      <w:pPr>
        <w:spacing w:before="69" w:line="247" w:lineRule="auto"/>
        <w:ind w:left="5" w:firstLine="420"/>
        <w:rPr>
          <w:rFonts w:ascii="宋体" w:hAnsi="宋体" w:eastAsia="宋体" w:cs="宋体"/>
          <w:sz w:val="21"/>
          <w:szCs w:val="21"/>
        </w:rPr>
      </w:pPr>
      <w:r>
        <w:rPr>
          <w:rFonts w:ascii="宋体" w:hAnsi="宋体" w:eastAsia="宋体" w:cs="宋体"/>
          <w:spacing w:val="-4"/>
          <w:sz w:val="21"/>
          <w:szCs w:val="21"/>
        </w:rPr>
        <w:t>退行性病变引起椎管、侧隐窝、神经根管等狭窄而引起的腰椎管狭窄，</w:t>
      </w:r>
      <w:r>
        <w:rPr>
          <w:rFonts w:ascii="宋体" w:hAnsi="宋体" w:eastAsia="宋体" w:cs="宋体"/>
          <w:spacing w:val="-35"/>
          <w:sz w:val="21"/>
          <w:szCs w:val="21"/>
        </w:rPr>
        <w:t xml:space="preserve"> </w:t>
      </w:r>
      <w:r>
        <w:rPr>
          <w:rFonts w:ascii="宋体" w:hAnsi="宋体" w:eastAsia="宋体" w:cs="宋体"/>
          <w:spacing w:val="-4"/>
          <w:sz w:val="21"/>
          <w:szCs w:val="21"/>
        </w:rPr>
        <w:t>也适用于腰椎间盘突出、腰</w:t>
      </w:r>
      <w:r>
        <w:rPr>
          <w:rFonts w:ascii="宋体" w:hAnsi="宋体" w:eastAsia="宋体" w:cs="宋体"/>
          <w:sz w:val="21"/>
          <w:szCs w:val="21"/>
        </w:rPr>
        <w:t xml:space="preserve"> </w:t>
      </w:r>
      <w:r>
        <w:rPr>
          <w:rFonts w:ascii="宋体" w:hAnsi="宋体" w:eastAsia="宋体" w:cs="宋体"/>
          <w:spacing w:val="-1"/>
          <w:sz w:val="21"/>
          <w:szCs w:val="21"/>
        </w:rPr>
        <w:t>椎不稳、腰椎滑脱或脊柱侧凸引起的狭窄。</w:t>
      </w:r>
    </w:p>
    <w:p>
      <w:pPr>
        <w:spacing w:line="303" w:lineRule="auto"/>
        <w:rPr>
          <w:rFonts w:ascii="Arial"/>
          <w:sz w:val="21"/>
        </w:rPr>
      </w:pPr>
    </w:p>
    <w:p>
      <w:pPr>
        <w:pStyle w:val="2"/>
        <w:spacing w:before="69" w:line="624" w:lineRule="exact"/>
        <w:outlineLvl w:val="0"/>
        <w:rPr>
          <w:sz w:val="21"/>
          <w:szCs w:val="21"/>
        </w:rPr>
      </w:pPr>
      <w:bookmarkStart w:id="9" w:name="_Toc3278"/>
      <w:r>
        <w:rPr>
          <w:spacing w:val="-1"/>
          <w:position w:val="32"/>
          <w:sz w:val="21"/>
          <w:szCs w:val="21"/>
        </w:rPr>
        <w:t>5  操作步骤与要求</w:t>
      </w:r>
      <w:bookmarkEnd w:id="9"/>
    </w:p>
    <w:p>
      <w:pPr>
        <w:pStyle w:val="2"/>
        <w:spacing w:before="1" w:line="219" w:lineRule="auto"/>
        <w:outlineLvl w:val="1"/>
        <w:rPr>
          <w:sz w:val="21"/>
          <w:szCs w:val="21"/>
        </w:rPr>
      </w:pPr>
      <w:bookmarkStart w:id="10" w:name="_Toc32689"/>
      <w:r>
        <w:rPr>
          <w:spacing w:val="-1"/>
          <w:sz w:val="21"/>
          <w:szCs w:val="21"/>
        </w:rPr>
        <w:t>5.1  操作前准备</w:t>
      </w:r>
      <w:bookmarkEnd w:id="10"/>
    </w:p>
    <w:p>
      <w:pPr>
        <w:spacing w:line="303" w:lineRule="auto"/>
        <w:rPr>
          <w:rFonts w:ascii="Arial"/>
          <w:sz w:val="21"/>
        </w:rPr>
      </w:pPr>
    </w:p>
    <w:p>
      <w:pPr>
        <w:pStyle w:val="2"/>
        <w:spacing w:before="69" w:line="220" w:lineRule="auto"/>
        <w:ind w:left="6"/>
        <w:outlineLvl w:val="2"/>
        <w:rPr>
          <w:sz w:val="21"/>
          <w:szCs w:val="21"/>
        </w:rPr>
      </w:pPr>
      <w:r>
        <w:rPr>
          <w:rFonts w:ascii="Times New Roman" w:hAnsi="Times New Roman" w:eastAsia="Times New Roman" w:cs="Times New Roman"/>
          <w:spacing w:val="-1"/>
          <w:sz w:val="21"/>
          <w:szCs w:val="21"/>
        </w:rPr>
        <w:t xml:space="preserve">5.1.1 </w:t>
      </w:r>
      <w:r>
        <w:rPr>
          <w:spacing w:val="-1"/>
          <w:sz w:val="21"/>
          <w:szCs w:val="21"/>
        </w:rPr>
        <w:t>治疗地点</w:t>
      </w:r>
    </w:p>
    <w:p>
      <w:pPr>
        <w:spacing w:line="303" w:lineRule="auto"/>
        <w:rPr>
          <w:rFonts w:ascii="Arial"/>
          <w:sz w:val="21"/>
        </w:rPr>
      </w:pPr>
    </w:p>
    <w:p>
      <w:pPr>
        <w:spacing w:before="69" w:line="220" w:lineRule="auto"/>
        <w:ind w:left="426"/>
        <w:rPr>
          <w:rFonts w:ascii="宋体" w:hAnsi="宋体" w:eastAsia="宋体" w:cs="宋体"/>
          <w:sz w:val="21"/>
          <w:szCs w:val="21"/>
        </w:rPr>
      </w:pPr>
      <w:r>
        <w:rPr>
          <w:rFonts w:ascii="宋体" w:hAnsi="宋体" w:eastAsia="宋体" w:cs="宋体"/>
          <w:spacing w:val="-2"/>
          <w:sz w:val="21"/>
          <w:szCs w:val="21"/>
        </w:rPr>
        <w:t>依法取得执业许可的医疗机构。</w:t>
      </w:r>
    </w:p>
    <w:p>
      <w:pPr>
        <w:spacing w:line="303" w:lineRule="auto"/>
        <w:rPr>
          <w:rFonts w:ascii="Arial"/>
          <w:sz w:val="21"/>
        </w:rPr>
      </w:pPr>
    </w:p>
    <w:p>
      <w:pPr>
        <w:pStyle w:val="2"/>
        <w:spacing w:before="69" w:line="220" w:lineRule="auto"/>
        <w:ind w:left="6"/>
        <w:outlineLvl w:val="2"/>
        <w:rPr>
          <w:sz w:val="21"/>
          <w:szCs w:val="21"/>
        </w:rPr>
      </w:pPr>
      <w:r>
        <w:rPr>
          <w:rFonts w:ascii="Times New Roman" w:hAnsi="Times New Roman" w:eastAsia="Times New Roman" w:cs="Times New Roman"/>
          <w:spacing w:val="-1"/>
          <w:sz w:val="21"/>
          <w:szCs w:val="21"/>
        </w:rPr>
        <w:t xml:space="preserve">5.1.2  </w:t>
      </w:r>
      <w:r>
        <w:rPr>
          <w:spacing w:val="-1"/>
          <w:sz w:val="21"/>
          <w:szCs w:val="21"/>
        </w:rPr>
        <w:t>治疗环境</w:t>
      </w:r>
    </w:p>
    <w:p>
      <w:pPr>
        <w:spacing w:line="303" w:lineRule="auto"/>
        <w:rPr>
          <w:rFonts w:ascii="Arial"/>
          <w:sz w:val="21"/>
        </w:rPr>
      </w:pPr>
    </w:p>
    <w:p>
      <w:pPr>
        <w:spacing w:before="69" w:line="312" w:lineRule="exact"/>
        <w:ind w:left="6"/>
        <w:rPr>
          <w:rFonts w:ascii="宋体" w:hAnsi="宋体" w:eastAsia="宋体" w:cs="宋体"/>
          <w:sz w:val="21"/>
          <w:szCs w:val="21"/>
        </w:rPr>
      </w:pPr>
      <w:r>
        <w:fldChar w:fldCharType="begin"/>
      </w:r>
      <w:r>
        <w:instrText xml:space="preserve"> HYPERLINK "5.1.2.1" </w:instrText>
      </w:r>
      <w:r>
        <w:fldChar w:fldCharType="separate"/>
      </w:r>
      <w:r>
        <w:rPr>
          <w:rFonts w:ascii="Calibri" w:hAnsi="Calibri" w:eastAsia="Calibri" w:cs="Calibri"/>
          <w:position w:val="7"/>
          <w:sz w:val="21"/>
          <w:szCs w:val="21"/>
        </w:rPr>
        <w:t>5.1.2.1</w:t>
      </w:r>
      <w:r>
        <w:rPr>
          <w:rFonts w:ascii="Calibri" w:hAnsi="Calibri" w:eastAsia="Calibri" w:cs="Calibri"/>
          <w:position w:val="7"/>
          <w:sz w:val="21"/>
          <w:szCs w:val="21"/>
        </w:rPr>
        <w:fldChar w:fldCharType="end"/>
      </w:r>
      <w:r>
        <w:rPr>
          <w:rFonts w:ascii="宋体" w:hAnsi="宋体" w:eastAsia="宋体" w:cs="宋体"/>
          <w:position w:val="7"/>
          <w:sz w:val="21"/>
          <w:szCs w:val="21"/>
        </w:rPr>
        <w:t>内部光照应符合以下要求：执行GB/T 40973-2021 5</w:t>
      </w:r>
      <w:r>
        <w:rPr>
          <w:rFonts w:ascii="宋体" w:hAnsi="宋体" w:eastAsia="宋体" w:cs="宋体"/>
          <w:spacing w:val="-1"/>
          <w:position w:val="7"/>
          <w:sz w:val="21"/>
          <w:szCs w:val="21"/>
        </w:rPr>
        <w:t>.3.1的规定。</w:t>
      </w:r>
    </w:p>
    <w:p>
      <w:pPr>
        <w:spacing w:before="1" w:line="220" w:lineRule="auto"/>
        <w:ind w:left="6"/>
        <w:rPr>
          <w:rFonts w:ascii="宋体" w:hAnsi="宋体" w:eastAsia="宋体" w:cs="宋体"/>
          <w:sz w:val="21"/>
          <w:szCs w:val="21"/>
        </w:rPr>
      </w:pPr>
      <w:r>
        <w:fldChar w:fldCharType="begin"/>
      </w:r>
      <w:r>
        <w:instrText xml:space="preserve"> HYPERLINK "5.1.2.2" </w:instrText>
      </w:r>
      <w:r>
        <w:fldChar w:fldCharType="separate"/>
      </w:r>
      <w:r>
        <w:rPr>
          <w:rFonts w:ascii="Calibri" w:hAnsi="Calibri" w:eastAsia="Calibri" w:cs="Calibri"/>
          <w:spacing w:val="-4"/>
          <w:sz w:val="21"/>
          <w:szCs w:val="21"/>
        </w:rPr>
        <w:t>5.1.2.2</w:t>
      </w:r>
      <w:r>
        <w:rPr>
          <w:rFonts w:ascii="Calibri" w:hAnsi="Calibri" w:eastAsia="Calibri" w:cs="Calibri"/>
          <w:spacing w:val="-4"/>
          <w:sz w:val="21"/>
          <w:szCs w:val="21"/>
        </w:rPr>
        <w:fldChar w:fldCharType="end"/>
      </w:r>
      <w:r>
        <w:rPr>
          <w:rFonts w:ascii="Calibri" w:hAnsi="Calibri" w:eastAsia="Calibri" w:cs="Calibri"/>
          <w:spacing w:val="-13"/>
          <w:sz w:val="21"/>
          <w:szCs w:val="21"/>
        </w:rPr>
        <w:t xml:space="preserve"> </w:t>
      </w:r>
      <w:r>
        <w:rPr>
          <w:rFonts w:ascii="宋体" w:hAnsi="宋体" w:eastAsia="宋体" w:cs="宋体"/>
          <w:spacing w:val="-4"/>
          <w:sz w:val="21"/>
          <w:szCs w:val="21"/>
        </w:rPr>
        <w:t>内部温度与空气调节：</w:t>
      </w:r>
    </w:p>
    <w:p>
      <w:pPr>
        <w:spacing w:before="62" w:line="247" w:lineRule="auto"/>
        <w:ind w:left="423" w:right="1420"/>
        <w:rPr>
          <w:rFonts w:ascii="宋体" w:hAnsi="宋体" w:eastAsia="宋体" w:cs="宋体"/>
          <w:sz w:val="21"/>
          <w:szCs w:val="21"/>
        </w:rPr>
      </w:pPr>
      <w:r>
        <w:rPr>
          <w:rFonts w:ascii="宋体" w:hAnsi="宋体" w:eastAsia="宋体" w:cs="宋体"/>
          <w:spacing w:val="-4"/>
          <w:sz w:val="21"/>
          <w:szCs w:val="21"/>
        </w:rPr>
        <w:t>——诊室内应保持适宜的温度， 在特定的季节和地区，应有温度调节</w:t>
      </w:r>
      <w:r>
        <w:rPr>
          <w:rFonts w:ascii="宋体" w:hAnsi="宋体" w:eastAsia="宋体" w:cs="宋体"/>
          <w:spacing w:val="-5"/>
          <w:sz w:val="21"/>
          <w:szCs w:val="21"/>
        </w:rPr>
        <w:t>装置或措施：</w:t>
      </w:r>
      <w:r>
        <w:rPr>
          <w:rFonts w:ascii="宋体" w:hAnsi="宋体" w:eastAsia="宋体" w:cs="宋体"/>
          <w:sz w:val="21"/>
          <w:szCs w:val="21"/>
        </w:rPr>
        <w:t xml:space="preserve"> ——诊室内应保持空气的适当流动或通风，完全封闭的诊室应定期换气：</w:t>
      </w:r>
    </w:p>
    <w:p>
      <w:pPr>
        <w:spacing w:before="61" w:line="248" w:lineRule="auto"/>
        <w:ind w:left="7" w:firstLine="415"/>
        <w:rPr>
          <w:rFonts w:ascii="宋体" w:hAnsi="宋体" w:eastAsia="宋体" w:cs="宋体"/>
          <w:sz w:val="21"/>
          <w:szCs w:val="21"/>
        </w:rPr>
      </w:pPr>
      <w:r>
        <w:rPr>
          <w:rFonts w:ascii="宋体" w:hAnsi="宋体" w:eastAsia="宋体" w:cs="宋体"/>
          <w:spacing w:val="-4"/>
          <w:sz w:val="21"/>
          <w:szCs w:val="21"/>
        </w:rPr>
        <w:t>——在传统银质针诊室内应安装排烟设备或采取排烟措施，使烟雾及时排出诊室，</w:t>
      </w:r>
      <w:r>
        <w:rPr>
          <w:rFonts w:ascii="宋体" w:hAnsi="宋体" w:eastAsia="宋体" w:cs="宋体"/>
          <w:spacing w:val="-32"/>
          <w:sz w:val="21"/>
          <w:szCs w:val="21"/>
        </w:rPr>
        <w:t xml:space="preserve"> </w:t>
      </w:r>
      <w:r>
        <w:rPr>
          <w:rFonts w:ascii="宋体" w:hAnsi="宋体" w:eastAsia="宋体" w:cs="宋体"/>
          <w:spacing w:val="-4"/>
          <w:sz w:val="21"/>
          <w:szCs w:val="21"/>
        </w:rPr>
        <w:t>有条件的医疗机</w:t>
      </w:r>
      <w:r>
        <w:rPr>
          <w:rFonts w:ascii="宋体" w:hAnsi="宋体" w:eastAsia="宋体" w:cs="宋体"/>
          <w:sz w:val="21"/>
          <w:szCs w:val="21"/>
        </w:rPr>
        <w:t xml:space="preserve"> </w:t>
      </w:r>
      <w:r>
        <w:rPr>
          <w:rFonts w:ascii="宋体" w:hAnsi="宋体" w:eastAsia="宋体" w:cs="宋体"/>
          <w:spacing w:val="-2"/>
          <w:sz w:val="21"/>
          <w:szCs w:val="21"/>
        </w:rPr>
        <w:t>构可设置专门的银质针治疗室。</w:t>
      </w:r>
    </w:p>
    <w:p>
      <w:pPr>
        <w:spacing w:line="301" w:lineRule="auto"/>
        <w:rPr>
          <w:rFonts w:ascii="Arial"/>
          <w:sz w:val="21"/>
        </w:rPr>
      </w:pPr>
    </w:p>
    <w:p>
      <w:pPr>
        <w:pStyle w:val="2"/>
        <w:spacing w:before="69" w:line="220" w:lineRule="auto"/>
        <w:ind w:left="6"/>
        <w:outlineLvl w:val="2"/>
        <w:rPr>
          <w:sz w:val="21"/>
          <w:szCs w:val="21"/>
        </w:rPr>
      </w:pPr>
      <w:r>
        <w:rPr>
          <w:rFonts w:ascii="Times New Roman" w:hAnsi="Times New Roman" w:eastAsia="Times New Roman" w:cs="Times New Roman"/>
          <w:spacing w:val="-1"/>
          <w:sz w:val="21"/>
          <w:szCs w:val="21"/>
        </w:rPr>
        <w:t xml:space="preserve">5.1.3  </w:t>
      </w:r>
      <w:r>
        <w:rPr>
          <w:spacing w:val="-1"/>
          <w:sz w:val="21"/>
          <w:szCs w:val="21"/>
        </w:rPr>
        <w:t>治疗部位</w:t>
      </w:r>
    </w:p>
    <w:p>
      <w:pPr>
        <w:spacing w:line="303" w:lineRule="auto"/>
        <w:rPr>
          <w:rFonts w:ascii="Arial"/>
          <w:sz w:val="21"/>
        </w:rPr>
      </w:pPr>
    </w:p>
    <w:p>
      <w:pPr>
        <w:spacing w:before="68" w:line="248" w:lineRule="auto"/>
        <w:ind w:left="4" w:right="28" w:firstLine="420"/>
        <w:rPr>
          <w:rFonts w:ascii="宋体" w:hAnsi="宋体" w:eastAsia="宋体" w:cs="宋体"/>
          <w:sz w:val="21"/>
          <w:szCs w:val="21"/>
        </w:rPr>
      </w:pPr>
      <w:r>
        <w:rPr>
          <w:rFonts w:ascii="宋体" w:hAnsi="宋体" w:eastAsia="宋体" w:cs="宋体"/>
          <w:spacing w:val="2"/>
          <w:sz w:val="21"/>
          <w:szCs w:val="21"/>
        </w:rPr>
        <w:t>通常选择腰骶后部、腰骶脊柱段、臀旁侧、大腿根部、臀后侧进行一系列有规律的压痛点</w:t>
      </w:r>
      <w:r>
        <w:rPr>
          <w:rFonts w:ascii="宋体" w:hAnsi="宋体" w:eastAsia="宋体" w:cs="宋体"/>
          <w:spacing w:val="1"/>
          <w:sz w:val="21"/>
          <w:szCs w:val="21"/>
        </w:rPr>
        <w:t>针刺治</w:t>
      </w:r>
      <w:r>
        <w:rPr>
          <w:rFonts w:ascii="宋体" w:hAnsi="宋体" w:eastAsia="宋体" w:cs="宋体"/>
          <w:sz w:val="21"/>
          <w:szCs w:val="21"/>
        </w:rPr>
        <w:t xml:space="preserve"> </w:t>
      </w:r>
      <w:r>
        <w:rPr>
          <w:rFonts w:ascii="宋体" w:hAnsi="宋体" w:eastAsia="宋体" w:cs="宋体"/>
          <w:spacing w:val="-2"/>
          <w:sz w:val="21"/>
          <w:szCs w:val="21"/>
        </w:rPr>
        <w:t>疗 。</w:t>
      </w:r>
    </w:p>
    <w:p>
      <w:pPr>
        <w:spacing w:line="301" w:lineRule="auto"/>
        <w:rPr>
          <w:rFonts w:ascii="Arial"/>
          <w:sz w:val="21"/>
        </w:rPr>
      </w:pPr>
    </w:p>
    <w:p>
      <w:pPr>
        <w:pStyle w:val="2"/>
        <w:spacing w:before="70" w:line="220" w:lineRule="auto"/>
        <w:ind w:left="6"/>
        <w:outlineLvl w:val="2"/>
        <w:rPr>
          <w:sz w:val="21"/>
          <w:szCs w:val="21"/>
        </w:rPr>
      </w:pPr>
      <w:r>
        <w:rPr>
          <w:rFonts w:ascii="Times New Roman" w:hAnsi="Times New Roman" w:eastAsia="Times New Roman" w:cs="Times New Roman"/>
          <w:spacing w:val="-1"/>
          <w:sz w:val="21"/>
          <w:szCs w:val="21"/>
        </w:rPr>
        <w:t xml:space="preserve">5.1.4  </w:t>
      </w:r>
      <w:r>
        <w:rPr>
          <w:spacing w:val="-1"/>
          <w:sz w:val="21"/>
          <w:szCs w:val="21"/>
        </w:rPr>
        <w:t>体位选择</w:t>
      </w:r>
    </w:p>
    <w:p>
      <w:pPr>
        <w:spacing w:line="303" w:lineRule="auto"/>
        <w:rPr>
          <w:rFonts w:ascii="Arial"/>
          <w:sz w:val="21"/>
        </w:rPr>
      </w:pPr>
    </w:p>
    <w:p>
      <w:pPr>
        <w:spacing w:before="69" w:line="220" w:lineRule="auto"/>
        <w:ind w:left="424"/>
        <w:rPr>
          <w:rFonts w:ascii="宋体" w:hAnsi="宋体" w:eastAsia="宋体" w:cs="宋体"/>
          <w:sz w:val="21"/>
          <w:szCs w:val="21"/>
        </w:rPr>
      </w:pPr>
      <w:r>
        <w:rPr>
          <w:rFonts w:ascii="宋体" w:hAnsi="宋体" w:eastAsia="宋体" w:cs="宋体"/>
          <w:spacing w:val="-3"/>
          <w:sz w:val="21"/>
          <w:szCs w:val="21"/>
        </w:rPr>
        <w:t>腰骶后部、腰骶脊柱段、取俯卧位，</w:t>
      </w:r>
      <w:r>
        <w:rPr>
          <w:rFonts w:ascii="宋体" w:hAnsi="宋体" w:eastAsia="宋体" w:cs="宋体"/>
          <w:spacing w:val="-18"/>
          <w:sz w:val="21"/>
          <w:szCs w:val="21"/>
        </w:rPr>
        <w:t xml:space="preserve"> </w:t>
      </w:r>
      <w:r>
        <w:rPr>
          <w:rFonts w:ascii="宋体" w:hAnsi="宋体" w:eastAsia="宋体" w:cs="宋体"/>
          <w:spacing w:val="-3"/>
          <w:sz w:val="21"/>
          <w:szCs w:val="21"/>
        </w:rPr>
        <w:t>臀旁侧及大腿根部分别需侧卧位和仰卧位。</w:t>
      </w:r>
    </w:p>
    <w:p>
      <w:pPr>
        <w:spacing w:line="303" w:lineRule="auto"/>
        <w:rPr>
          <w:rFonts w:ascii="Arial"/>
          <w:sz w:val="21"/>
        </w:rPr>
      </w:pPr>
    </w:p>
    <w:p>
      <w:pPr>
        <w:pStyle w:val="2"/>
        <w:spacing w:before="69" w:line="221" w:lineRule="auto"/>
        <w:ind w:left="6"/>
        <w:outlineLvl w:val="2"/>
        <w:rPr>
          <w:sz w:val="21"/>
          <w:szCs w:val="21"/>
        </w:rPr>
      </w:pPr>
      <w:r>
        <w:rPr>
          <w:rFonts w:ascii="Times New Roman" w:hAnsi="Times New Roman" w:eastAsia="Times New Roman" w:cs="Times New Roman"/>
          <w:spacing w:val="-1"/>
          <w:sz w:val="21"/>
          <w:szCs w:val="21"/>
        </w:rPr>
        <w:t xml:space="preserve">5.1.5  </w:t>
      </w:r>
      <w:r>
        <w:rPr>
          <w:spacing w:val="-1"/>
          <w:sz w:val="21"/>
          <w:szCs w:val="21"/>
        </w:rPr>
        <w:t>医师站位及准备</w:t>
      </w:r>
    </w:p>
    <w:p>
      <w:pPr>
        <w:spacing w:line="303" w:lineRule="auto"/>
        <w:rPr>
          <w:rFonts w:ascii="Arial"/>
          <w:sz w:val="21"/>
        </w:rPr>
      </w:pPr>
    </w:p>
    <w:p>
      <w:pPr>
        <w:spacing w:before="68" w:line="256" w:lineRule="auto"/>
        <w:ind w:left="4" w:right="26" w:firstLine="425"/>
        <w:jc w:val="both"/>
        <w:rPr>
          <w:rFonts w:ascii="宋体" w:hAnsi="宋体" w:eastAsia="宋体" w:cs="宋体"/>
          <w:sz w:val="21"/>
          <w:szCs w:val="21"/>
        </w:rPr>
      </w:pPr>
      <w:r>
        <w:rPr>
          <w:rFonts w:ascii="宋体" w:hAnsi="宋体" w:eastAsia="宋体" w:cs="宋体"/>
          <w:spacing w:val="-1"/>
          <w:sz w:val="21"/>
          <w:szCs w:val="21"/>
        </w:rPr>
        <w:t>治疗操作区空间应满足医生操作和患者接受治疗的需要， 同时宜加强保护患者隐私措施。提前签</w:t>
      </w:r>
      <w:r>
        <w:rPr>
          <w:rFonts w:ascii="宋体" w:hAnsi="宋体" w:eastAsia="宋体" w:cs="宋体"/>
          <w:spacing w:val="14"/>
          <w:sz w:val="21"/>
          <w:szCs w:val="21"/>
        </w:rPr>
        <w:t xml:space="preserve"> </w:t>
      </w:r>
      <w:r>
        <w:rPr>
          <w:rFonts w:ascii="宋体" w:hAnsi="宋体" w:eastAsia="宋体" w:cs="宋体"/>
          <w:spacing w:val="-6"/>
          <w:sz w:val="21"/>
          <w:szCs w:val="21"/>
        </w:rPr>
        <w:t>署知情同意书。医师洗手消毒应符合</w:t>
      </w:r>
      <w:r>
        <w:rPr>
          <w:rFonts w:ascii="宋体" w:hAnsi="宋体" w:eastAsia="宋体" w:cs="宋体"/>
          <w:spacing w:val="-30"/>
          <w:sz w:val="21"/>
          <w:szCs w:val="21"/>
        </w:rPr>
        <w:t xml:space="preserve"> </w:t>
      </w:r>
      <w:r>
        <w:rPr>
          <w:rFonts w:ascii="Calibri" w:hAnsi="Calibri" w:eastAsia="Calibri" w:cs="Calibri"/>
          <w:spacing w:val="-6"/>
          <w:sz w:val="21"/>
          <w:szCs w:val="21"/>
        </w:rPr>
        <w:t>WS/T313</w:t>
      </w:r>
      <w:r>
        <w:rPr>
          <w:rFonts w:ascii="Calibri" w:hAnsi="Calibri" w:eastAsia="Calibri" w:cs="Calibri"/>
          <w:spacing w:val="31"/>
          <w:w w:val="101"/>
          <w:sz w:val="21"/>
          <w:szCs w:val="21"/>
        </w:rPr>
        <w:t xml:space="preserve"> </w:t>
      </w:r>
      <w:r>
        <w:rPr>
          <w:rFonts w:ascii="宋体" w:hAnsi="宋体" w:eastAsia="宋体" w:cs="宋体"/>
          <w:spacing w:val="-6"/>
          <w:sz w:val="21"/>
          <w:szCs w:val="21"/>
        </w:rPr>
        <w:t>的规定，</w:t>
      </w:r>
      <w:r>
        <w:rPr>
          <w:rFonts w:ascii="宋体" w:hAnsi="宋体" w:eastAsia="宋体" w:cs="宋体"/>
          <w:spacing w:val="-40"/>
          <w:sz w:val="21"/>
          <w:szCs w:val="21"/>
        </w:rPr>
        <w:t xml:space="preserve"> </w:t>
      </w:r>
      <w:r>
        <w:rPr>
          <w:rFonts w:ascii="宋体" w:hAnsi="宋体" w:eastAsia="宋体" w:cs="宋体"/>
          <w:spacing w:val="-6"/>
          <w:sz w:val="21"/>
          <w:szCs w:val="21"/>
        </w:rPr>
        <w:t>参照</w:t>
      </w:r>
      <w:r>
        <w:rPr>
          <w:rFonts w:ascii="宋体" w:hAnsi="宋体" w:eastAsia="宋体" w:cs="宋体"/>
          <w:spacing w:val="-37"/>
          <w:sz w:val="21"/>
          <w:szCs w:val="21"/>
        </w:rPr>
        <w:t xml:space="preserve"> </w:t>
      </w:r>
      <w:r>
        <w:rPr>
          <w:rFonts w:ascii="Calibri" w:hAnsi="Calibri" w:eastAsia="Calibri" w:cs="Calibri"/>
          <w:color w:val="333333"/>
          <w:spacing w:val="-6"/>
          <w:sz w:val="21"/>
          <w:szCs w:val="21"/>
        </w:rPr>
        <w:t>DB45</w:t>
      </w:r>
      <w:r>
        <w:rPr>
          <w:rFonts w:ascii="Calibri" w:hAnsi="Calibri" w:eastAsia="Calibri" w:cs="Calibri"/>
          <w:spacing w:val="-6"/>
          <w:sz w:val="21"/>
          <w:szCs w:val="21"/>
        </w:rPr>
        <w:t>/</w:t>
      </w:r>
      <w:r>
        <w:rPr>
          <w:rFonts w:ascii="Calibri" w:hAnsi="Calibri" w:eastAsia="Calibri" w:cs="Calibri"/>
          <w:color w:val="333333"/>
          <w:spacing w:val="-6"/>
          <w:sz w:val="21"/>
          <w:szCs w:val="21"/>
        </w:rPr>
        <w:t>T2137</w:t>
      </w:r>
      <w:r>
        <w:rPr>
          <w:rFonts w:ascii="Calibri" w:hAnsi="Calibri" w:eastAsia="Calibri" w:cs="Calibri"/>
          <w:color w:val="333333"/>
          <w:spacing w:val="32"/>
          <w:sz w:val="21"/>
          <w:szCs w:val="21"/>
        </w:rPr>
        <w:t xml:space="preserve"> </w:t>
      </w:r>
      <w:r>
        <w:rPr>
          <w:rFonts w:ascii="宋体" w:hAnsi="宋体" w:eastAsia="宋体" w:cs="宋体"/>
          <w:spacing w:val="-6"/>
          <w:sz w:val="21"/>
          <w:szCs w:val="21"/>
        </w:rPr>
        <w:t>的规定，</w:t>
      </w:r>
      <w:r>
        <w:rPr>
          <w:rFonts w:ascii="宋体" w:hAnsi="宋体" w:eastAsia="宋体" w:cs="宋体"/>
          <w:spacing w:val="-38"/>
          <w:sz w:val="21"/>
          <w:szCs w:val="21"/>
        </w:rPr>
        <w:t xml:space="preserve"> </w:t>
      </w:r>
      <w:r>
        <w:rPr>
          <w:rFonts w:ascii="宋体" w:hAnsi="宋体" w:eastAsia="宋体" w:cs="宋体"/>
          <w:spacing w:val="-6"/>
          <w:sz w:val="21"/>
          <w:szCs w:val="21"/>
        </w:rPr>
        <w:t>戴无菌口罩、帽子及</w:t>
      </w:r>
      <w:r>
        <w:rPr>
          <w:rFonts w:ascii="宋体" w:hAnsi="宋体" w:eastAsia="宋体" w:cs="宋体"/>
          <w:sz w:val="21"/>
          <w:szCs w:val="21"/>
        </w:rPr>
        <w:t xml:space="preserve"> </w:t>
      </w:r>
      <w:r>
        <w:rPr>
          <w:rFonts w:ascii="宋体" w:hAnsi="宋体" w:eastAsia="宋体" w:cs="宋体"/>
          <w:spacing w:val="-5"/>
          <w:sz w:val="21"/>
          <w:szCs w:val="21"/>
        </w:rPr>
        <w:t>一次性使用灭菌橡胶外科手套， 站于患者左、右侧皆可。</w:t>
      </w:r>
    </w:p>
    <w:p>
      <w:pPr>
        <w:spacing w:line="303" w:lineRule="auto"/>
        <w:rPr>
          <w:rFonts w:ascii="Arial"/>
          <w:sz w:val="21"/>
        </w:rPr>
      </w:pPr>
    </w:p>
    <w:p>
      <w:pPr>
        <w:pStyle w:val="2"/>
        <w:spacing w:before="69" w:line="220" w:lineRule="auto"/>
        <w:ind w:left="6"/>
        <w:outlineLvl w:val="2"/>
        <w:rPr>
          <w:sz w:val="21"/>
          <w:szCs w:val="21"/>
        </w:rPr>
      </w:pPr>
      <w:r>
        <w:rPr>
          <w:rFonts w:ascii="Times New Roman" w:hAnsi="Times New Roman" w:eastAsia="Times New Roman" w:cs="Times New Roman"/>
          <w:spacing w:val="-1"/>
          <w:sz w:val="21"/>
          <w:szCs w:val="21"/>
        </w:rPr>
        <w:t xml:space="preserve">5.1.6 </w:t>
      </w:r>
      <w:r>
        <w:rPr>
          <w:spacing w:val="-1"/>
          <w:sz w:val="21"/>
          <w:szCs w:val="21"/>
        </w:rPr>
        <w:t>治疗前评估</w:t>
      </w:r>
    </w:p>
    <w:p>
      <w:pPr>
        <w:spacing w:before="63" w:line="247" w:lineRule="auto"/>
        <w:ind w:left="4" w:firstLine="421"/>
        <w:rPr>
          <w:rFonts w:ascii="宋体" w:hAnsi="宋体" w:eastAsia="宋体" w:cs="宋体"/>
          <w:sz w:val="21"/>
          <w:szCs w:val="21"/>
        </w:rPr>
      </w:pPr>
      <w:r>
        <w:rPr>
          <w:rFonts w:ascii="宋体" w:hAnsi="宋体" w:eastAsia="宋体" w:cs="宋体"/>
          <w:sz w:val="21"/>
          <w:szCs w:val="21"/>
        </w:rPr>
        <w:t xml:space="preserve">完成患者生命体征、血糖、凝血四项、输血前四项、血常规等常规检查、下肢 </w:t>
      </w:r>
      <w:r>
        <w:rPr>
          <w:rFonts w:ascii="Calibri" w:hAnsi="Calibri" w:eastAsia="Calibri" w:cs="Calibri"/>
          <w:sz w:val="21"/>
          <w:szCs w:val="21"/>
        </w:rPr>
        <w:t xml:space="preserve">B  </w:t>
      </w:r>
      <w:r>
        <w:rPr>
          <w:rFonts w:ascii="宋体" w:hAnsi="宋体" w:eastAsia="宋体" w:cs="宋体"/>
          <w:sz w:val="21"/>
          <w:szCs w:val="21"/>
        </w:rPr>
        <w:t>超、肌电图及脊</w:t>
      </w:r>
      <w:r>
        <w:rPr>
          <w:rFonts w:ascii="宋体" w:hAnsi="宋体" w:eastAsia="宋体" w:cs="宋体"/>
          <w:spacing w:val="4"/>
          <w:sz w:val="21"/>
          <w:szCs w:val="21"/>
        </w:rPr>
        <w:t xml:space="preserve"> </w:t>
      </w:r>
      <w:r>
        <w:rPr>
          <w:rFonts w:ascii="宋体" w:hAnsi="宋体" w:eastAsia="宋体" w:cs="宋体"/>
          <w:spacing w:val="-3"/>
          <w:sz w:val="21"/>
          <w:szCs w:val="21"/>
        </w:rPr>
        <w:t>柱相关影像学检查。</w:t>
      </w:r>
    </w:p>
    <w:p>
      <w:pPr>
        <w:spacing w:line="247" w:lineRule="auto"/>
        <w:rPr>
          <w:rFonts w:ascii="宋体" w:hAnsi="宋体" w:eastAsia="宋体" w:cs="宋体"/>
          <w:sz w:val="21"/>
          <w:szCs w:val="21"/>
        </w:rPr>
        <w:sectPr>
          <w:headerReference r:id="rId11" w:type="default"/>
          <w:footerReference r:id="rId12" w:type="default"/>
          <w:pgSz w:w="11907" w:h="16839"/>
          <w:pgMar w:top="1656" w:right="1128" w:bottom="1167" w:left="1422" w:header="1445" w:footer="992" w:gutter="0"/>
          <w:cols w:space="720" w:num="1"/>
        </w:sectPr>
      </w:pPr>
    </w:p>
    <w:p>
      <w:pPr>
        <w:pStyle w:val="2"/>
        <w:spacing w:before="84" w:line="221" w:lineRule="auto"/>
        <w:ind w:left="6"/>
        <w:outlineLvl w:val="2"/>
        <w:rPr>
          <w:sz w:val="21"/>
          <w:szCs w:val="21"/>
        </w:rPr>
      </w:pPr>
      <w:r>
        <w:rPr>
          <w:rFonts w:ascii="Times New Roman" w:hAnsi="Times New Roman" w:eastAsia="Times New Roman" w:cs="Times New Roman"/>
          <w:spacing w:val="-1"/>
          <w:sz w:val="21"/>
          <w:szCs w:val="21"/>
        </w:rPr>
        <w:t xml:space="preserve">5.1.7  </w:t>
      </w:r>
      <w:r>
        <w:rPr>
          <w:spacing w:val="-1"/>
          <w:sz w:val="21"/>
          <w:szCs w:val="21"/>
        </w:rPr>
        <w:t>器具准备</w:t>
      </w:r>
    </w:p>
    <w:p>
      <w:pPr>
        <w:spacing w:line="301" w:lineRule="auto"/>
        <w:rPr>
          <w:rFonts w:ascii="Arial"/>
          <w:sz w:val="21"/>
        </w:rPr>
      </w:pPr>
    </w:p>
    <w:p>
      <w:pPr>
        <w:spacing w:before="68" w:line="221" w:lineRule="auto"/>
        <w:ind w:left="424"/>
        <w:rPr>
          <w:rFonts w:ascii="宋体" w:hAnsi="宋体" w:eastAsia="宋体" w:cs="宋体"/>
          <w:sz w:val="21"/>
          <w:szCs w:val="21"/>
        </w:rPr>
      </w:pPr>
      <w:r>
        <w:rPr>
          <w:rFonts w:ascii="宋体" w:hAnsi="宋体" w:eastAsia="宋体" w:cs="宋体"/>
          <w:spacing w:val="-1"/>
          <w:sz w:val="21"/>
          <w:szCs w:val="21"/>
        </w:rPr>
        <w:t>配备的主要设备与器械包括但不限于：</w:t>
      </w:r>
    </w:p>
    <w:p>
      <w:pPr>
        <w:spacing w:before="60" w:line="261" w:lineRule="auto"/>
        <w:ind w:left="4" w:firstLine="419"/>
        <w:rPr>
          <w:rFonts w:ascii="宋体" w:hAnsi="宋体" w:eastAsia="宋体" w:cs="宋体"/>
          <w:sz w:val="21"/>
          <w:szCs w:val="21"/>
        </w:rPr>
      </w:pPr>
      <w:r>
        <w:rPr>
          <w:rFonts w:ascii="宋体" w:hAnsi="宋体" w:eastAsia="宋体" w:cs="宋体"/>
          <w:spacing w:val="-8"/>
          <w:sz w:val="21"/>
          <w:szCs w:val="21"/>
        </w:rPr>
        <w:t>——必备设备与器械：包括普通不同规格的银质针（1.1*110mm、1.1*130mm、1.1*1</w:t>
      </w:r>
      <w:r>
        <w:rPr>
          <w:rFonts w:ascii="宋体" w:hAnsi="宋体" w:eastAsia="宋体" w:cs="宋体"/>
          <w:spacing w:val="-9"/>
          <w:sz w:val="21"/>
          <w:szCs w:val="21"/>
        </w:rPr>
        <w:t>50mm、1.1*170mm、</w:t>
      </w:r>
      <w:r>
        <w:rPr>
          <w:rFonts w:ascii="宋体" w:hAnsi="宋体" w:eastAsia="宋体" w:cs="宋体"/>
          <w:sz w:val="21"/>
          <w:szCs w:val="21"/>
        </w:rPr>
        <w:t xml:space="preserve"> </w:t>
      </w:r>
      <w:r>
        <w:rPr>
          <w:rFonts w:ascii="宋体" w:hAnsi="宋体" w:eastAsia="宋体" w:cs="宋体"/>
          <w:spacing w:val="-1"/>
          <w:sz w:val="21"/>
          <w:szCs w:val="21"/>
        </w:rPr>
        <w:t>1.1*190mm、1.1*210mm、0.8*110mm、0.8*130mm、0.8*150mm）针具、</w:t>
      </w:r>
      <w:r>
        <w:rPr>
          <w:rFonts w:ascii="宋体" w:hAnsi="宋体" w:eastAsia="宋体" w:cs="宋体"/>
          <w:spacing w:val="-23"/>
          <w:sz w:val="21"/>
          <w:szCs w:val="21"/>
        </w:rPr>
        <w:t xml:space="preserve"> </w:t>
      </w:r>
      <w:r>
        <w:rPr>
          <w:rFonts w:ascii="宋体" w:hAnsi="宋体" w:eastAsia="宋体" w:cs="宋体"/>
          <w:spacing w:val="-1"/>
          <w:sz w:val="21"/>
          <w:szCs w:val="21"/>
        </w:rPr>
        <w:t>可重复使</w:t>
      </w:r>
      <w:r>
        <w:rPr>
          <w:rFonts w:ascii="宋体" w:hAnsi="宋体" w:eastAsia="宋体" w:cs="宋体"/>
          <w:spacing w:val="-2"/>
          <w:sz w:val="21"/>
          <w:szCs w:val="21"/>
        </w:rPr>
        <w:t>用的银质针高温灭菌分</w:t>
      </w:r>
      <w:r>
        <w:rPr>
          <w:rFonts w:ascii="宋体" w:hAnsi="宋体" w:eastAsia="宋体" w:cs="宋体"/>
          <w:sz w:val="21"/>
          <w:szCs w:val="21"/>
        </w:rPr>
        <w:t xml:space="preserve"> </w:t>
      </w:r>
      <w:r>
        <w:rPr>
          <w:rFonts w:ascii="宋体" w:hAnsi="宋体" w:eastAsia="宋体" w:cs="宋体"/>
          <w:spacing w:val="-2"/>
          <w:sz w:val="21"/>
          <w:szCs w:val="21"/>
        </w:rPr>
        <w:t>装、灭菌的消毒辅料包（包内放至少四张120*120cm的治疗巾， 10张棉质的小毛巾、无菌消毒盘、卵圆</w:t>
      </w:r>
      <w:r>
        <w:rPr>
          <w:rFonts w:ascii="宋体" w:hAnsi="宋体" w:eastAsia="宋体" w:cs="宋体"/>
          <w:spacing w:val="2"/>
          <w:sz w:val="21"/>
          <w:szCs w:val="21"/>
        </w:rPr>
        <w:t xml:space="preserve"> </w:t>
      </w:r>
      <w:r>
        <w:rPr>
          <w:rFonts w:ascii="宋体" w:hAnsi="宋体" w:eastAsia="宋体" w:cs="宋体"/>
          <w:spacing w:val="-2"/>
          <w:sz w:val="21"/>
          <w:szCs w:val="21"/>
        </w:rPr>
        <w:t>钳、止血钳、消毒棉球、生理盐水100ml、500ml各3瓶、棉</w:t>
      </w:r>
      <w:r>
        <w:rPr>
          <w:rFonts w:ascii="宋体" w:hAnsi="宋体" w:eastAsia="宋体" w:cs="宋体"/>
          <w:spacing w:val="-3"/>
          <w:sz w:val="21"/>
          <w:szCs w:val="21"/>
        </w:rPr>
        <w:t>垫、</w:t>
      </w:r>
      <w:r>
        <w:rPr>
          <w:rFonts w:ascii="宋体" w:hAnsi="宋体" w:eastAsia="宋体" w:cs="宋体"/>
          <w:spacing w:val="-28"/>
          <w:sz w:val="21"/>
          <w:szCs w:val="21"/>
        </w:rPr>
        <w:t xml:space="preserve"> </w:t>
      </w:r>
      <w:r>
        <w:rPr>
          <w:rFonts w:ascii="宋体" w:hAnsi="宋体" w:eastAsia="宋体" w:cs="宋体"/>
          <w:spacing w:val="-3"/>
          <w:sz w:val="21"/>
          <w:szCs w:val="21"/>
        </w:rPr>
        <w:t>2%利多卡因2支）。</w:t>
      </w:r>
    </w:p>
    <w:p>
      <w:pPr>
        <w:spacing w:before="60" w:line="221" w:lineRule="auto"/>
        <w:ind w:left="423"/>
        <w:rPr>
          <w:rFonts w:ascii="宋体" w:hAnsi="宋体" w:eastAsia="宋体" w:cs="宋体"/>
          <w:sz w:val="21"/>
          <w:szCs w:val="21"/>
        </w:rPr>
      </w:pPr>
      <w:r>
        <w:rPr>
          <w:rFonts w:ascii="宋体" w:hAnsi="宋体" w:eastAsia="宋体" w:cs="宋体"/>
          <w:spacing w:val="-1"/>
          <w:sz w:val="21"/>
          <w:szCs w:val="21"/>
        </w:rPr>
        <w:t>——有条件的可选备医用银质针导热巡检仪、麻醉枪。</w:t>
      </w:r>
    </w:p>
    <w:p>
      <w:pPr>
        <w:spacing w:line="303" w:lineRule="auto"/>
        <w:rPr>
          <w:rFonts w:ascii="Arial"/>
          <w:sz w:val="21"/>
        </w:rPr>
      </w:pPr>
    </w:p>
    <w:p>
      <w:pPr>
        <w:pStyle w:val="2"/>
        <w:spacing w:before="69" w:line="219" w:lineRule="auto"/>
        <w:ind w:left="6"/>
        <w:outlineLvl w:val="1"/>
        <w:rPr>
          <w:sz w:val="21"/>
          <w:szCs w:val="21"/>
        </w:rPr>
      </w:pPr>
      <w:bookmarkStart w:id="11" w:name="_Toc100"/>
      <w:r>
        <w:rPr>
          <w:rFonts w:ascii="Calibri" w:hAnsi="Calibri" w:eastAsia="Calibri" w:cs="Calibri"/>
          <w:spacing w:val="-2"/>
          <w:sz w:val="21"/>
          <w:szCs w:val="21"/>
        </w:rPr>
        <w:t>5.2</w:t>
      </w:r>
      <w:r>
        <w:rPr>
          <w:rFonts w:ascii="Calibri" w:hAnsi="Calibri" w:eastAsia="Calibri" w:cs="Calibri"/>
          <w:spacing w:val="8"/>
          <w:sz w:val="21"/>
          <w:szCs w:val="21"/>
        </w:rPr>
        <w:t xml:space="preserve">  </w:t>
      </w:r>
      <w:r>
        <w:rPr>
          <w:spacing w:val="-2"/>
          <w:sz w:val="21"/>
          <w:szCs w:val="21"/>
        </w:rPr>
        <w:t>操作方法</w:t>
      </w:r>
      <w:bookmarkEnd w:id="11"/>
    </w:p>
    <w:p>
      <w:pPr>
        <w:spacing w:line="305" w:lineRule="auto"/>
        <w:rPr>
          <w:rFonts w:ascii="Arial"/>
          <w:sz w:val="21"/>
        </w:rPr>
      </w:pPr>
    </w:p>
    <w:p>
      <w:pPr>
        <w:pStyle w:val="2"/>
        <w:spacing w:before="68" w:line="222" w:lineRule="auto"/>
        <w:outlineLvl w:val="2"/>
        <w:rPr>
          <w:sz w:val="21"/>
          <w:szCs w:val="21"/>
        </w:rPr>
      </w:pPr>
      <w:r>
        <w:rPr>
          <w:sz w:val="21"/>
          <w:szCs w:val="21"/>
        </w:rPr>
        <w:t>5.2.1 布针思路</w:t>
      </w:r>
    </w:p>
    <w:p>
      <w:pPr>
        <w:spacing w:line="299" w:lineRule="auto"/>
        <w:rPr>
          <w:rFonts w:ascii="Arial"/>
          <w:sz w:val="21"/>
        </w:rPr>
      </w:pPr>
    </w:p>
    <w:p>
      <w:pPr>
        <w:spacing w:before="69" w:line="261" w:lineRule="auto"/>
        <w:ind w:left="3" w:right="21" w:firstLine="420"/>
        <w:rPr>
          <w:rFonts w:ascii="宋体" w:hAnsi="宋体" w:eastAsia="宋体" w:cs="宋体"/>
          <w:sz w:val="21"/>
          <w:szCs w:val="21"/>
        </w:rPr>
      </w:pPr>
      <w:r>
        <w:rPr>
          <w:rFonts w:ascii="宋体" w:hAnsi="宋体" w:eastAsia="宋体" w:cs="宋体"/>
          <w:sz w:val="21"/>
          <w:szCs w:val="21"/>
        </w:rPr>
        <w:t xml:space="preserve">腰骶后部起自腰三角区外段髂嵴、髂后上棘内上缘、骶髂关节内侧缘止于 </w:t>
      </w:r>
      <w:r>
        <w:rPr>
          <w:rFonts w:ascii="Calibri" w:hAnsi="Calibri" w:eastAsia="Calibri" w:cs="Calibri"/>
          <w:sz w:val="21"/>
          <w:szCs w:val="21"/>
        </w:rPr>
        <w:t xml:space="preserve">S  4  </w:t>
      </w:r>
      <w:r>
        <w:rPr>
          <w:rFonts w:ascii="宋体" w:hAnsi="宋体" w:eastAsia="宋体" w:cs="宋体"/>
          <w:sz w:val="21"/>
          <w:szCs w:val="21"/>
        </w:rPr>
        <w:t>水平的皮肤区域，</w:t>
      </w:r>
      <w:r>
        <w:rPr>
          <w:rFonts w:ascii="宋体" w:hAnsi="宋体" w:eastAsia="宋体" w:cs="宋体"/>
          <w:spacing w:val="11"/>
          <w:sz w:val="21"/>
          <w:szCs w:val="21"/>
        </w:rPr>
        <w:t xml:space="preserve"> </w:t>
      </w:r>
      <w:r>
        <w:rPr>
          <w:rFonts w:ascii="宋体" w:hAnsi="宋体" w:eastAsia="宋体" w:cs="宋体"/>
          <w:sz w:val="21"/>
          <w:szCs w:val="21"/>
        </w:rPr>
        <w:t>符合骶棘肌下端附着处的深浅层压痛点（区</w:t>
      </w:r>
      <w:r>
        <w:rPr>
          <w:rFonts w:ascii="宋体" w:hAnsi="宋体" w:eastAsia="宋体" w:cs="宋体"/>
          <w:spacing w:val="-20"/>
          <w:sz w:val="21"/>
          <w:szCs w:val="21"/>
        </w:rPr>
        <w:t>），</w:t>
      </w:r>
      <w:r>
        <w:rPr>
          <w:rFonts w:ascii="宋体" w:hAnsi="宋体" w:eastAsia="宋体" w:cs="宋体"/>
          <w:sz w:val="21"/>
          <w:szCs w:val="21"/>
        </w:rPr>
        <w:t xml:space="preserve">布针两排，每排 </w:t>
      </w:r>
      <w:r>
        <w:rPr>
          <w:rFonts w:ascii="Calibri" w:hAnsi="Calibri" w:eastAsia="Calibri" w:cs="Calibri"/>
          <w:sz w:val="21"/>
          <w:szCs w:val="21"/>
        </w:rPr>
        <w:t xml:space="preserve">10  </w:t>
      </w:r>
      <w:r>
        <w:rPr>
          <w:rFonts w:ascii="宋体" w:hAnsi="宋体" w:eastAsia="宋体" w:cs="宋体"/>
          <w:sz w:val="21"/>
          <w:szCs w:val="21"/>
        </w:rPr>
        <w:t>针</w:t>
      </w:r>
      <w:r>
        <w:rPr>
          <w:rFonts w:ascii="宋体" w:hAnsi="宋体" w:eastAsia="宋体" w:cs="宋体"/>
          <w:spacing w:val="33"/>
          <w:sz w:val="21"/>
          <w:szCs w:val="21"/>
        </w:rPr>
        <w:t xml:space="preserve"> </w:t>
      </w:r>
      <w:r>
        <w:rPr>
          <w:rFonts w:ascii="宋体" w:hAnsi="宋体" w:eastAsia="宋体" w:cs="宋体"/>
          <w:sz w:val="21"/>
          <w:szCs w:val="21"/>
        </w:rPr>
        <w:t>。在腰脊柱棘突旁椎板</w:t>
      </w:r>
      <w:r>
        <w:rPr>
          <w:rFonts w:ascii="宋体" w:hAnsi="宋体" w:eastAsia="宋体" w:cs="宋体"/>
          <w:spacing w:val="-1"/>
          <w:sz w:val="21"/>
          <w:szCs w:val="21"/>
        </w:rPr>
        <w:t>处或者</w:t>
      </w:r>
      <w:r>
        <w:rPr>
          <w:rFonts w:ascii="宋体" w:hAnsi="宋体" w:eastAsia="宋体" w:cs="宋体"/>
          <w:sz w:val="21"/>
          <w:szCs w:val="21"/>
        </w:rPr>
        <w:t xml:space="preserve"> </w:t>
      </w:r>
      <w:r>
        <w:rPr>
          <w:rFonts w:ascii="宋体" w:hAnsi="宋体" w:eastAsia="宋体" w:cs="宋体"/>
          <w:spacing w:val="-3"/>
          <w:sz w:val="21"/>
          <w:szCs w:val="21"/>
        </w:rPr>
        <w:t xml:space="preserve">沿骶骨背面棘突旁 </w:t>
      </w:r>
      <w:r>
        <w:rPr>
          <w:rFonts w:ascii="Calibri" w:hAnsi="Calibri" w:eastAsia="Calibri" w:cs="Calibri"/>
          <w:spacing w:val="-3"/>
          <w:sz w:val="21"/>
          <w:szCs w:val="21"/>
        </w:rPr>
        <w:t>1.0</w:t>
      </w:r>
      <w:r>
        <w:rPr>
          <w:rFonts w:ascii="宋体" w:hAnsi="宋体" w:eastAsia="宋体" w:cs="宋体"/>
          <w:spacing w:val="-3"/>
          <w:sz w:val="21"/>
          <w:szCs w:val="21"/>
        </w:rPr>
        <w:t>～</w:t>
      </w:r>
      <w:r>
        <w:rPr>
          <w:rFonts w:ascii="Calibri" w:hAnsi="Calibri" w:eastAsia="Calibri" w:cs="Calibri"/>
          <w:spacing w:val="-3"/>
          <w:sz w:val="21"/>
          <w:szCs w:val="21"/>
        </w:rPr>
        <w:t xml:space="preserve">2.0  cm  </w:t>
      </w:r>
      <w:r>
        <w:rPr>
          <w:rFonts w:ascii="宋体" w:hAnsi="宋体" w:eastAsia="宋体" w:cs="宋体"/>
          <w:spacing w:val="-3"/>
          <w:sz w:val="21"/>
          <w:szCs w:val="21"/>
        </w:rPr>
        <w:t>直线布针两</w:t>
      </w:r>
      <w:r>
        <w:rPr>
          <w:rFonts w:ascii="宋体" w:hAnsi="宋体" w:eastAsia="宋体" w:cs="宋体"/>
          <w:spacing w:val="-4"/>
          <w:sz w:val="21"/>
          <w:szCs w:val="21"/>
        </w:rPr>
        <w:t>排，</w:t>
      </w:r>
      <w:r>
        <w:rPr>
          <w:rFonts w:ascii="宋体" w:hAnsi="宋体" w:eastAsia="宋体" w:cs="宋体"/>
          <w:spacing w:val="-22"/>
          <w:sz w:val="21"/>
          <w:szCs w:val="21"/>
        </w:rPr>
        <w:t xml:space="preserve"> </w:t>
      </w:r>
      <w:r>
        <w:rPr>
          <w:rFonts w:ascii="宋体" w:hAnsi="宋体" w:eastAsia="宋体" w:cs="宋体"/>
          <w:spacing w:val="-4"/>
          <w:sz w:val="21"/>
          <w:szCs w:val="21"/>
        </w:rPr>
        <w:t xml:space="preserve">针距为 </w:t>
      </w:r>
      <w:r>
        <w:rPr>
          <w:rFonts w:ascii="Calibri" w:hAnsi="Calibri" w:eastAsia="Calibri" w:cs="Calibri"/>
          <w:spacing w:val="-4"/>
          <w:sz w:val="21"/>
          <w:szCs w:val="21"/>
        </w:rPr>
        <w:t>1.0</w:t>
      </w:r>
      <w:r>
        <w:rPr>
          <w:rFonts w:ascii="宋体" w:hAnsi="宋体" w:eastAsia="宋体" w:cs="宋体"/>
          <w:spacing w:val="-4"/>
          <w:sz w:val="21"/>
          <w:szCs w:val="21"/>
        </w:rPr>
        <w:t>～</w:t>
      </w:r>
      <w:r>
        <w:rPr>
          <w:rFonts w:ascii="Calibri" w:hAnsi="Calibri" w:eastAsia="Calibri" w:cs="Calibri"/>
          <w:spacing w:val="-4"/>
          <w:sz w:val="21"/>
          <w:szCs w:val="21"/>
        </w:rPr>
        <w:t>1.5  cm</w:t>
      </w:r>
      <w:r>
        <w:rPr>
          <w:rFonts w:ascii="宋体" w:hAnsi="宋体" w:eastAsia="宋体" w:cs="宋体"/>
          <w:spacing w:val="-4"/>
          <w:sz w:val="21"/>
          <w:szCs w:val="21"/>
        </w:rPr>
        <w:t xml:space="preserve">，每排为 </w:t>
      </w:r>
      <w:r>
        <w:rPr>
          <w:rFonts w:ascii="Calibri" w:hAnsi="Calibri" w:eastAsia="Calibri" w:cs="Calibri"/>
          <w:spacing w:val="-4"/>
          <w:sz w:val="21"/>
          <w:szCs w:val="21"/>
        </w:rPr>
        <w:t>6</w:t>
      </w:r>
      <w:r>
        <w:rPr>
          <w:rFonts w:ascii="宋体" w:hAnsi="宋体" w:eastAsia="宋体" w:cs="宋体"/>
          <w:spacing w:val="-4"/>
          <w:sz w:val="21"/>
          <w:szCs w:val="21"/>
        </w:rPr>
        <w:t>～</w:t>
      </w:r>
      <w:r>
        <w:rPr>
          <w:rFonts w:ascii="Calibri" w:hAnsi="Calibri" w:eastAsia="Calibri" w:cs="Calibri"/>
          <w:spacing w:val="-4"/>
          <w:sz w:val="21"/>
          <w:szCs w:val="21"/>
        </w:rPr>
        <w:t>8</w:t>
      </w:r>
      <w:r>
        <w:rPr>
          <w:rFonts w:ascii="Calibri" w:hAnsi="Calibri" w:eastAsia="Calibri" w:cs="Calibri"/>
          <w:spacing w:val="14"/>
          <w:sz w:val="21"/>
          <w:szCs w:val="21"/>
        </w:rPr>
        <w:t xml:space="preserve"> </w:t>
      </w:r>
      <w:r>
        <w:rPr>
          <w:rFonts w:ascii="宋体" w:hAnsi="宋体" w:eastAsia="宋体" w:cs="宋体"/>
          <w:spacing w:val="-4"/>
          <w:sz w:val="21"/>
          <w:szCs w:val="21"/>
        </w:rPr>
        <w:t>枚，</w:t>
      </w:r>
      <w:r>
        <w:rPr>
          <w:rFonts w:ascii="宋体" w:hAnsi="宋体" w:eastAsia="宋体" w:cs="宋体"/>
          <w:spacing w:val="-26"/>
          <w:sz w:val="21"/>
          <w:szCs w:val="21"/>
        </w:rPr>
        <w:t xml:space="preserve"> </w:t>
      </w:r>
      <w:r>
        <w:rPr>
          <w:rFonts w:ascii="宋体" w:hAnsi="宋体" w:eastAsia="宋体" w:cs="宋体"/>
          <w:spacing w:val="-4"/>
          <w:sz w:val="21"/>
          <w:szCs w:val="21"/>
        </w:rPr>
        <w:t>垂直或斜向内</w:t>
      </w:r>
      <w:r>
        <w:rPr>
          <w:rFonts w:ascii="宋体" w:hAnsi="宋体" w:eastAsia="宋体" w:cs="宋体"/>
          <w:sz w:val="21"/>
          <w:szCs w:val="21"/>
        </w:rPr>
        <w:t xml:space="preserve"> 侧进针。在臀肌髂骨翼的附着点处刺入三排银质针，每排进针 </w:t>
      </w:r>
      <w:r>
        <w:rPr>
          <w:rFonts w:ascii="Calibri" w:hAnsi="Calibri" w:eastAsia="Calibri" w:cs="Calibri"/>
          <w:sz w:val="21"/>
          <w:szCs w:val="21"/>
        </w:rPr>
        <w:t>5</w:t>
      </w:r>
      <w:r>
        <w:rPr>
          <w:rFonts w:ascii="宋体" w:hAnsi="宋体" w:eastAsia="宋体" w:cs="宋体"/>
          <w:sz w:val="21"/>
          <w:szCs w:val="21"/>
        </w:rPr>
        <w:t>～</w:t>
      </w:r>
      <w:r>
        <w:rPr>
          <w:rFonts w:ascii="Calibri" w:hAnsi="Calibri" w:eastAsia="Calibri" w:cs="Calibri"/>
          <w:sz w:val="21"/>
          <w:szCs w:val="21"/>
        </w:rPr>
        <w:t xml:space="preserve">6  </w:t>
      </w:r>
      <w:r>
        <w:rPr>
          <w:rFonts w:ascii="宋体" w:hAnsi="宋体" w:eastAsia="宋体" w:cs="宋体"/>
          <w:sz w:val="21"/>
          <w:szCs w:val="21"/>
        </w:rPr>
        <w:t>枚 。</w:t>
      </w:r>
    </w:p>
    <w:p>
      <w:pPr>
        <w:spacing w:line="303" w:lineRule="auto"/>
        <w:rPr>
          <w:rFonts w:ascii="Arial"/>
          <w:sz w:val="21"/>
        </w:rPr>
      </w:pPr>
    </w:p>
    <w:p>
      <w:pPr>
        <w:pStyle w:val="2"/>
        <w:spacing w:before="69" w:line="220" w:lineRule="auto"/>
        <w:outlineLvl w:val="2"/>
        <w:rPr>
          <w:sz w:val="21"/>
          <w:szCs w:val="21"/>
        </w:rPr>
      </w:pPr>
      <w:r>
        <w:rPr>
          <w:sz w:val="21"/>
          <w:szCs w:val="21"/>
        </w:rPr>
        <w:t>5.2.2 注意事项</w:t>
      </w:r>
    </w:p>
    <w:p>
      <w:pPr>
        <w:spacing w:line="303" w:lineRule="auto"/>
        <w:rPr>
          <w:rFonts w:ascii="Arial"/>
          <w:sz w:val="21"/>
        </w:rPr>
      </w:pPr>
    </w:p>
    <w:p>
      <w:pPr>
        <w:spacing w:before="69" w:line="220" w:lineRule="auto"/>
        <w:ind w:left="424"/>
        <w:rPr>
          <w:rFonts w:ascii="宋体" w:hAnsi="宋体" w:eastAsia="宋体" w:cs="宋体"/>
          <w:sz w:val="21"/>
          <w:szCs w:val="21"/>
        </w:rPr>
      </w:pPr>
      <w:r>
        <w:rPr>
          <w:rFonts w:ascii="宋体" w:hAnsi="宋体" w:eastAsia="宋体" w:cs="宋体"/>
          <w:spacing w:val="-1"/>
          <w:sz w:val="21"/>
          <w:szCs w:val="21"/>
        </w:rPr>
        <w:t>基于</w:t>
      </w:r>
      <w:r>
        <w:rPr>
          <w:rFonts w:ascii="宋体" w:hAnsi="宋体" w:eastAsia="宋体" w:cs="宋体"/>
          <w:spacing w:val="-45"/>
          <w:sz w:val="21"/>
          <w:szCs w:val="21"/>
        </w:rPr>
        <w:t xml:space="preserve"> </w:t>
      </w:r>
      <w:r>
        <w:rPr>
          <w:rFonts w:ascii="Calibri" w:hAnsi="Calibri" w:eastAsia="Calibri" w:cs="Calibri"/>
          <w:spacing w:val="-1"/>
          <w:sz w:val="21"/>
          <w:szCs w:val="21"/>
        </w:rPr>
        <w:t>5.2.1</w:t>
      </w:r>
      <w:r>
        <w:rPr>
          <w:rFonts w:ascii="Calibri" w:hAnsi="Calibri" w:eastAsia="Calibri" w:cs="Calibri"/>
          <w:spacing w:val="15"/>
          <w:sz w:val="21"/>
          <w:szCs w:val="21"/>
        </w:rPr>
        <w:t xml:space="preserve"> </w:t>
      </w:r>
      <w:r>
        <w:rPr>
          <w:rFonts w:ascii="宋体" w:hAnsi="宋体" w:eastAsia="宋体" w:cs="宋体"/>
          <w:spacing w:val="-1"/>
          <w:sz w:val="21"/>
          <w:szCs w:val="21"/>
        </w:rPr>
        <w:t>布针思路基础上，可根据患者病情调整</w:t>
      </w:r>
      <w:r>
        <w:rPr>
          <w:rFonts w:ascii="宋体" w:hAnsi="宋体" w:eastAsia="宋体" w:cs="宋体"/>
          <w:spacing w:val="-2"/>
          <w:sz w:val="21"/>
          <w:szCs w:val="21"/>
        </w:rPr>
        <w:t>银质针数量。</w:t>
      </w:r>
    </w:p>
    <w:p>
      <w:pPr>
        <w:spacing w:line="303" w:lineRule="auto"/>
        <w:rPr>
          <w:rFonts w:ascii="Arial"/>
          <w:sz w:val="21"/>
        </w:rPr>
      </w:pPr>
    </w:p>
    <w:p>
      <w:pPr>
        <w:pStyle w:val="2"/>
        <w:spacing w:before="69" w:line="221" w:lineRule="auto"/>
        <w:outlineLvl w:val="2"/>
        <w:rPr>
          <w:sz w:val="21"/>
          <w:szCs w:val="21"/>
        </w:rPr>
      </w:pPr>
      <w:r>
        <w:rPr>
          <w:sz w:val="21"/>
          <w:szCs w:val="21"/>
        </w:rPr>
        <w:t>5.2.3 消毒</w:t>
      </w:r>
    </w:p>
    <w:p>
      <w:pPr>
        <w:spacing w:line="302" w:lineRule="auto"/>
        <w:rPr>
          <w:rFonts w:ascii="Arial"/>
          <w:sz w:val="21"/>
        </w:rPr>
      </w:pPr>
    </w:p>
    <w:p>
      <w:pPr>
        <w:spacing w:before="68" w:line="258" w:lineRule="auto"/>
        <w:ind w:left="9" w:right="76" w:firstLine="414"/>
        <w:rPr>
          <w:rFonts w:ascii="宋体" w:hAnsi="宋体" w:eastAsia="宋体" w:cs="宋体"/>
          <w:sz w:val="21"/>
          <w:szCs w:val="21"/>
        </w:rPr>
      </w:pPr>
      <w:r>
        <w:rPr>
          <w:rFonts w:ascii="宋体" w:hAnsi="宋体" w:eastAsia="宋体" w:cs="宋体"/>
          <w:spacing w:val="1"/>
          <w:sz w:val="21"/>
          <w:szCs w:val="21"/>
        </w:rPr>
        <w:t>进针点定位完毕后，术者戴一次性使用灭菌橡胶外科手套，按手术消毒范围进行</w:t>
      </w:r>
      <w:r>
        <w:rPr>
          <w:rFonts w:ascii="宋体" w:hAnsi="宋体" w:eastAsia="宋体" w:cs="宋体"/>
          <w:sz w:val="21"/>
          <w:szCs w:val="21"/>
        </w:rPr>
        <w:t xml:space="preserve">皮肤常规消毒， </w:t>
      </w:r>
      <w:r>
        <w:rPr>
          <w:rFonts w:ascii="宋体" w:hAnsi="宋体" w:eastAsia="宋体" w:cs="宋体"/>
          <w:spacing w:val="-2"/>
          <w:sz w:val="21"/>
          <w:szCs w:val="21"/>
        </w:rPr>
        <w:t xml:space="preserve">消毒范围超定位点 </w:t>
      </w:r>
      <w:r>
        <w:rPr>
          <w:rFonts w:ascii="Calibri" w:hAnsi="Calibri" w:eastAsia="Calibri" w:cs="Calibri"/>
          <w:spacing w:val="-2"/>
          <w:sz w:val="21"/>
          <w:szCs w:val="21"/>
        </w:rPr>
        <w:t>15</w:t>
      </w:r>
      <w:r>
        <w:rPr>
          <w:rFonts w:ascii="Calibri" w:hAnsi="Calibri" w:eastAsia="Calibri" w:cs="Calibri"/>
          <w:spacing w:val="17"/>
          <w:sz w:val="21"/>
          <w:szCs w:val="21"/>
        </w:rPr>
        <w:t xml:space="preserve"> </w:t>
      </w:r>
      <w:r>
        <w:rPr>
          <w:rFonts w:ascii="Calibri" w:hAnsi="Calibri" w:eastAsia="Calibri" w:cs="Calibri"/>
          <w:spacing w:val="-2"/>
          <w:sz w:val="21"/>
          <w:szCs w:val="21"/>
        </w:rPr>
        <w:t>cm</w:t>
      </w:r>
      <w:r>
        <w:rPr>
          <w:rFonts w:ascii="宋体" w:hAnsi="宋体" w:eastAsia="宋体" w:cs="宋体"/>
          <w:spacing w:val="-2"/>
          <w:sz w:val="21"/>
          <w:szCs w:val="21"/>
        </w:rPr>
        <w:t>。</w:t>
      </w:r>
    </w:p>
    <w:p>
      <w:pPr>
        <w:spacing w:line="280" w:lineRule="auto"/>
        <w:rPr>
          <w:rFonts w:ascii="Arial"/>
          <w:sz w:val="21"/>
        </w:rPr>
      </w:pPr>
    </w:p>
    <w:p>
      <w:pPr>
        <w:pStyle w:val="2"/>
        <w:spacing w:before="69" w:line="221" w:lineRule="auto"/>
        <w:outlineLvl w:val="2"/>
        <w:rPr>
          <w:sz w:val="21"/>
          <w:szCs w:val="21"/>
        </w:rPr>
      </w:pPr>
      <w:r>
        <w:rPr>
          <w:sz w:val="21"/>
          <w:szCs w:val="21"/>
        </w:rPr>
        <w:t>5.2.4 麻醉</w:t>
      </w:r>
    </w:p>
    <w:p>
      <w:pPr>
        <w:spacing w:line="300" w:lineRule="auto"/>
        <w:rPr>
          <w:rFonts w:ascii="Arial"/>
          <w:sz w:val="21"/>
        </w:rPr>
      </w:pPr>
    </w:p>
    <w:p>
      <w:pPr>
        <w:spacing w:before="69" w:line="257" w:lineRule="auto"/>
        <w:ind w:left="5" w:right="28" w:firstLine="419"/>
        <w:rPr>
          <w:rFonts w:ascii="宋体" w:hAnsi="宋体" w:eastAsia="宋体" w:cs="宋体"/>
          <w:sz w:val="21"/>
          <w:szCs w:val="21"/>
        </w:rPr>
      </w:pPr>
      <w:r>
        <w:rPr>
          <w:rFonts w:ascii="宋体" w:hAnsi="宋体" w:eastAsia="宋体" w:cs="宋体"/>
          <w:spacing w:val="-2"/>
          <w:sz w:val="21"/>
          <w:szCs w:val="21"/>
        </w:rPr>
        <w:t xml:space="preserve">针刺部位消毒后， 继续以 </w:t>
      </w:r>
      <w:r>
        <w:rPr>
          <w:rFonts w:ascii="Calibri" w:hAnsi="Calibri" w:eastAsia="Calibri" w:cs="Calibri"/>
          <w:spacing w:val="-2"/>
          <w:sz w:val="21"/>
          <w:szCs w:val="21"/>
        </w:rPr>
        <w:t>0.25%</w:t>
      </w:r>
      <w:r>
        <w:rPr>
          <w:rFonts w:ascii="宋体" w:hAnsi="宋体" w:eastAsia="宋体" w:cs="宋体"/>
          <w:spacing w:val="-2"/>
          <w:sz w:val="21"/>
          <w:szCs w:val="21"/>
        </w:rPr>
        <w:t>～</w:t>
      </w:r>
      <w:r>
        <w:rPr>
          <w:rFonts w:ascii="Calibri" w:hAnsi="Calibri" w:eastAsia="Calibri" w:cs="Calibri"/>
          <w:spacing w:val="-2"/>
          <w:sz w:val="21"/>
          <w:szCs w:val="21"/>
        </w:rPr>
        <w:t xml:space="preserve">0.50%  </w:t>
      </w:r>
      <w:r>
        <w:rPr>
          <w:rFonts w:ascii="宋体" w:hAnsi="宋体" w:eastAsia="宋体" w:cs="宋体"/>
          <w:spacing w:val="-2"/>
          <w:sz w:val="21"/>
          <w:szCs w:val="21"/>
        </w:rPr>
        <w:t>利多卡因注射液在针刺点皮内</w:t>
      </w:r>
      <w:r>
        <w:rPr>
          <w:rFonts w:ascii="宋体" w:hAnsi="宋体" w:eastAsia="宋体" w:cs="宋体"/>
          <w:spacing w:val="-3"/>
          <w:sz w:val="21"/>
          <w:szCs w:val="21"/>
        </w:rPr>
        <w:t>和深部骨膜下麻醉， 使银</w:t>
      </w:r>
      <w:r>
        <w:rPr>
          <w:rFonts w:ascii="宋体" w:hAnsi="宋体" w:eastAsia="宋体" w:cs="宋体"/>
          <w:sz w:val="21"/>
          <w:szCs w:val="21"/>
        </w:rPr>
        <w:t xml:space="preserve"> </w:t>
      </w:r>
      <w:r>
        <w:rPr>
          <w:rFonts w:ascii="宋体" w:hAnsi="宋体" w:eastAsia="宋体" w:cs="宋体"/>
          <w:spacing w:val="-2"/>
          <w:sz w:val="21"/>
          <w:szCs w:val="21"/>
        </w:rPr>
        <w:t>质针进针与加热时针点皮肤无痛感，以及适度降低针刺提插时的剧痛</w:t>
      </w:r>
      <w:r>
        <w:rPr>
          <w:rFonts w:ascii="宋体" w:hAnsi="宋体" w:eastAsia="宋体" w:cs="宋体"/>
          <w:spacing w:val="-3"/>
          <w:sz w:val="21"/>
          <w:szCs w:val="21"/>
        </w:rPr>
        <w:t>感。对于细银质针，</w:t>
      </w:r>
      <w:r>
        <w:rPr>
          <w:rFonts w:ascii="宋体" w:hAnsi="宋体" w:eastAsia="宋体" w:cs="宋体"/>
          <w:spacing w:val="25"/>
          <w:sz w:val="21"/>
          <w:szCs w:val="21"/>
        </w:rPr>
        <w:t xml:space="preserve"> </w:t>
      </w:r>
      <w:r>
        <w:rPr>
          <w:rFonts w:ascii="宋体" w:hAnsi="宋体" w:eastAsia="宋体" w:cs="宋体"/>
          <w:spacing w:val="-3"/>
          <w:sz w:val="21"/>
          <w:szCs w:val="21"/>
        </w:rPr>
        <w:t>因针体细，</w:t>
      </w:r>
      <w:r>
        <w:rPr>
          <w:rFonts w:ascii="宋体" w:hAnsi="宋体" w:eastAsia="宋体" w:cs="宋体"/>
          <w:sz w:val="21"/>
          <w:szCs w:val="21"/>
        </w:rPr>
        <w:t xml:space="preserve"> </w:t>
      </w:r>
      <w:r>
        <w:rPr>
          <w:rFonts w:ascii="宋体" w:hAnsi="宋体" w:eastAsia="宋体" w:cs="宋体"/>
          <w:spacing w:val="-1"/>
          <w:sz w:val="21"/>
          <w:szCs w:val="21"/>
        </w:rPr>
        <w:t>可酌情不予麻醉。</w:t>
      </w:r>
    </w:p>
    <w:p>
      <w:pPr>
        <w:spacing w:line="301" w:lineRule="auto"/>
        <w:rPr>
          <w:rFonts w:ascii="Arial"/>
          <w:sz w:val="21"/>
        </w:rPr>
      </w:pPr>
    </w:p>
    <w:p>
      <w:pPr>
        <w:pStyle w:val="2"/>
        <w:spacing w:before="69" w:line="220" w:lineRule="auto"/>
        <w:outlineLvl w:val="2"/>
        <w:rPr>
          <w:sz w:val="21"/>
          <w:szCs w:val="21"/>
        </w:rPr>
      </w:pPr>
      <w:r>
        <w:rPr>
          <w:sz w:val="21"/>
          <w:szCs w:val="21"/>
        </w:rPr>
        <w:t>5.2.5 针刺操作</w:t>
      </w:r>
    </w:p>
    <w:p>
      <w:pPr>
        <w:spacing w:line="303" w:lineRule="auto"/>
        <w:rPr>
          <w:rFonts w:ascii="Arial"/>
          <w:sz w:val="21"/>
        </w:rPr>
      </w:pPr>
    </w:p>
    <w:p>
      <w:pPr>
        <w:spacing w:before="69" w:line="257" w:lineRule="auto"/>
        <w:ind w:left="4" w:right="21" w:firstLine="420"/>
        <w:rPr>
          <w:rFonts w:ascii="宋体" w:hAnsi="宋体" w:eastAsia="宋体" w:cs="宋体"/>
          <w:sz w:val="21"/>
          <w:szCs w:val="21"/>
        </w:rPr>
      </w:pPr>
      <w:r>
        <w:rPr>
          <w:rFonts w:ascii="宋体" w:hAnsi="宋体" w:eastAsia="宋体" w:cs="宋体"/>
          <w:spacing w:val="-1"/>
          <w:sz w:val="21"/>
          <w:szCs w:val="21"/>
        </w:rPr>
        <w:t>选择经压力蒸汽灭菌且长度匹配的银质针分别刺入皮丘， 对准深层病变区域方向做直刺或斜刺，</w:t>
      </w:r>
      <w:r>
        <w:rPr>
          <w:rFonts w:ascii="宋体" w:hAnsi="宋体" w:eastAsia="宋体" w:cs="宋体"/>
          <w:spacing w:val="16"/>
          <w:sz w:val="21"/>
          <w:szCs w:val="21"/>
        </w:rPr>
        <w:t xml:space="preserve"> </w:t>
      </w:r>
      <w:r>
        <w:rPr>
          <w:rFonts w:ascii="宋体" w:hAnsi="宋体" w:eastAsia="宋体" w:cs="宋体"/>
          <w:spacing w:val="-1"/>
          <w:sz w:val="21"/>
          <w:szCs w:val="21"/>
        </w:rPr>
        <w:t>经皮下肌肉或筋膜直达骨筋膜附着处（压痛点</w:t>
      </w:r>
      <w:r>
        <w:rPr>
          <w:rFonts w:ascii="宋体" w:hAnsi="宋体" w:eastAsia="宋体" w:cs="宋体"/>
          <w:spacing w:val="-40"/>
          <w:sz w:val="21"/>
          <w:szCs w:val="21"/>
        </w:rPr>
        <w:t>），</w:t>
      </w:r>
      <w:r>
        <w:rPr>
          <w:rFonts w:ascii="宋体" w:hAnsi="宋体" w:eastAsia="宋体" w:cs="宋体"/>
          <w:spacing w:val="-1"/>
          <w:sz w:val="21"/>
          <w:szCs w:val="21"/>
        </w:rPr>
        <w:t>引出较强烈的酸沉胀麻痛针感为止。通常软组织病变</w:t>
      </w:r>
      <w:r>
        <w:rPr>
          <w:rFonts w:ascii="宋体" w:hAnsi="宋体" w:eastAsia="宋体" w:cs="宋体"/>
          <w:spacing w:val="1"/>
          <w:sz w:val="21"/>
          <w:szCs w:val="21"/>
        </w:rPr>
        <w:t xml:space="preserve"> </w:t>
      </w:r>
      <w:r>
        <w:rPr>
          <w:rFonts w:ascii="宋体" w:hAnsi="宋体" w:eastAsia="宋体" w:cs="宋体"/>
          <w:spacing w:val="-11"/>
          <w:sz w:val="21"/>
          <w:szCs w:val="21"/>
        </w:rPr>
        <w:t>越重， 其针感痛觉越强。</w:t>
      </w:r>
    </w:p>
    <w:p>
      <w:pPr>
        <w:spacing w:line="302" w:lineRule="auto"/>
        <w:rPr>
          <w:rFonts w:ascii="Arial"/>
          <w:sz w:val="21"/>
        </w:rPr>
      </w:pPr>
    </w:p>
    <w:p>
      <w:pPr>
        <w:pStyle w:val="2"/>
        <w:spacing w:before="68" w:line="219" w:lineRule="auto"/>
        <w:outlineLvl w:val="2"/>
        <w:rPr>
          <w:sz w:val="21"/>
          <w:szCs w:val="21"/>
        </w:rPr>
      </w:pPr>
      <w:r>
        <w:rPr>
          <w:sz w:val="21"/>
          <w:szCs w:val="21"/>
        </w:rPr>
        <w:t>5.2.6 铺巾流程</w:t>
      </w:r>
    </w:p>
    <w:p>
      <w:pPr>
        <w:spacing w:line="304" w:lineRule="auto"/>
        <w:rPr>
          <w:rFonts w:ascii="Arial"/>
          <w:sz w:val="21"/>
        </w:rPr>
      </w:pPr>
    </w:p>
    <w:p>
      <w:pPr>
        <w:spacing w:before="69" w:line="220" w:lineRule="auto"/>
        <w:ind w:left="425"/>
        <w:rPr>
          <w:rFonts w:ascii="宋体" w:hAnsi="宋体" w:eastAsia="宋体" w:cs="宋体"/>
          <w:sz w:val="21"/>
          <w:szCs w:val="21"/>
        </w:rPr>
      </w:pPr>
      <w:r>
        <w:rPr>
          <w:rFonts w:ascii="宋体" w:hAnsi="宋体" w:eastAsia="宋体" w:cs="宋体"/>
          <w:sz w:val="21"/>
          <w:szCs w:val="21"/>
        </w:rPr>
        <w:t>使用无菌包布或棉垫覆盖针与针之间皮肤及周围暴露皮肤，布巾钳固定包布或棉</w:t>
      </w:r>
      <w:r>
        <w:rPr>
          <w:rFonts w:ascii="宋体" w:hAnsi="宋体" w:eastAsia="宋体" w:cs="宋体"/>
          <w:spacing w:val="-1"/>
          <w:sz w:val="21"/>
          <w:szCs w:val="21"/>
        </w:rPr>
        <w:t>垫。</w:t>
      </w:r>
    </w:p>
    <w:p>
      <w:pPr>
        <w:spacing w:line="303" w:lineRule="auto"/>
        <w:rPr>
          <w:rFonts w:ascii="Arial"/>
          <w:sz w:val="21"/>
        </w:rPr>
      </w:pPr>
    </w:p>
    <w:p>
      <w:pPr>
        <w:pStyle w:val="2"/>
        <w:spacing w:before="68" w:line="221" w:lineRule="auto"/>
        <w:outlineLvl w:val="2"/>
        <w:rPr>
          <w:sz w:val="21"/>
          <w:szCs w:val="21"/>
        </w:rPr>
      </w:pPr>
      <w:r>
        <w:rPr>
          <w:sz w:val="21"/>
          <w:szCs w:val="21"/>
        </w:rPr>
        <w:t>5.2.7 银质针导热</w:t>
      </w:r>
    </w:p>
    <w:p>
      <w:pPr>
        <w:spacing w:line="221" w:lineRule="auto"/>
        <w:rPr>
          <w:sz w:val="21"/>
          <w:szCs w:val="21"/>
        </w:rPr>
        <w:sectPr>
          <w:headerReference r:id="rId13" w:type="default"/>
          <w:footerReference r:id="rId14" w:type="default"/>
          <w:pgSz w:w="11907" w:h="16839"/>
          <w:pgMar w:top="1656" w:right="1128" w:bottom="1168" w:left="1422" w:header="1445" w:footer="992" w:gutter="0"/>
          <w:cols w:space="720" w:num="1"/>
        </w:sectPr>
      </w:pPr>
    </w:p>
    <w:p>
      <w:pPr>
        <w:spacing w:before="84" w:line="221" w:lineRule="auto"/>
        <w:ind w:left="426"/>
        <w:rPr>
          <w:rFonts w:ascii="宋体" w:hAnsi="宋体" w:eastAsia="宋体" w:cs="宋体"/>
          <w:sz w:val="21"/>
          <w:szCs w:val="21"/>
        </w:rPr>
      </w:pPr>
      <w:r>
        <w:rPr>
          <w:rFonts w:ascii="宋体" w:hAnsi="宋体" w:eastAsia="宋体" w:cs="宋体"/>
          <w:spacing w:val="-1"/>
          <w:sz w:val="21"/>
          <w:szCs w:val="21"/>
        </w:rPr>
        <w:t>银质针导热方式分为两种：</w:t>
      </w:r>
    </w:p>
    <w:p>
      <w:pPr>
        <w:spacing w:before="61" w:line="247" w:lineRule="auto"/>
        <w:ind w:left="7" w:firstLine="416"/>
        <w:rPr>
          <w:rFonts w:ascii="宋体" w:hAnsi="宋体" w:eastAsia="宋体" w:cs="宋体"/>
          <w:sz w:val="21"/>
          <w:szCs w:val="21"/>
        </w:rPr>
      </w:pPr>
      <w:r>
        <w:rPr>
          <w:rFonts w:ascii="宋体" w:hAnsi="宋体" w:eastAsia="宋体" w:cs="宋体"/>
          <w:spacing w:val="-3"/>
          <w:sz w:val="21"/>
          <w:szCs w:val="21"/>
        </w:rPr>
        <w:t xml:space="preserve">——艾柱导热法：可用艾条剪成 </w:t>
      </w:r>
      <w:r>
        <w:rPr>
          <w:rFonts w:ascii="Calibri" w:hAnsi="Calibri" w:eastAsia="Calibri" w:cs="Calibri"/>
          <w:spacing w:val="-3"/>
          <w:sz w:val="21"/>
          <w:szCs w:val="21"/>
        </w:rPr>
        <w:t>2-3CM</w:t>
      </w:r>
      <w:r>
        <w:rPr>
          <w:rFonts w:ascii="Calibri" w:hAnsi="Calibri" w:eastAsia="Calibri" w:cs="Calibri"/>
          <w:spacing w:val="39"/>
          <w:w w:val="101"/>
          <w:sz w:val="21"/>
          <w:szCs w:val="21"/>
        </w:rPr>
        <w:t xml:space="preserve"> </w:t>
      </w:r>
      <w:r>
        <w:rPr>
          <w:rFonts w:ascii="宋体" w:hAnsi="宋体" w:eastAsia="宋体" w:cs="宋体"/>
          <w:spacing w:val="-3"/>
          <w:sz w:val="21"/>
          <w:szCs w:val="21"/>
        </w:rPr>
        <w:t>艾柱， 以</w:t>
      </w:r>
      <w:r>
        <w:rPr>
          <w:rFonts w:ascii="宋体" w:hAnsi="宋体" w:eastAsia="宋体" w:cs="宋体"/>
          <w:spacing w:val="-20"/>
          <w:sz w:val="21"/>
          <w:szCs w:val="21"/>
        </w:rPr>
        <w:t xml:space="preserve"> </w:t>
      </w:r>
      <w:r>
        <w:rPr>
          <w:rFonts w:ascii="Calibri" w:hAnsi="Calibri" w:eastAsia="Calibri" w:cs="Calibri"/>
          <w:spacing w:val="-3"/>
          <w:sz w:val="21"/>
          <w:szCs w:val="21"/>
        </w:rPr>
        <w:t>95%</w:t>
      </w:r>
      <w:r>
        <w:rPr>
          <w:rFonts w:ascii="宋体" w:hAnsi="宋体" w:eastAsia="宋体" w:cs="宋体"/>
          <w:spacing w:val="-3"/>
          <w:sz w:val="21"/>
          <w:szCs w:val="21"/>
        </w:rPr>
        <w:t>医用酒精浸泡后</w:t>
      </w:r>
      <w:r>
        <w:rPr>
          <w:rFonts w:ascii="宋体" w:hAnsi="宋体" w:eastAsia="宋体" w:cs="宋体"/>
          <w:spacing w:val="-4"/>
          <w:sz w:val="21"/>
          <w:szCs w:val="21"/>
        </w:rPr>
        <w:t>的艾柱插到每一根银质针尾</w:t>
      </w:r>
      <w:r>
        <w:rPr>
          <w:rFonts w:ascii="宋体" w:hAnsi="宋体" w:eastAsia="宋体" w:cs="宋体"/>
          <w:sz w:val="21"/>
          <w:szCs w:val="21"/>
        </w:rPr>
        <w:t xml:space="preserve"> </w:t>
      </w:r>
      <w:r>
        <w:rPr>
          <w:rFonts w:ascii="宋体" w:hAnsi="宋体" w:eastAsia="宋体" w:cs="宋体"/>
          <w:spacing w:val="-3"/>
          <w:sz w:val="21"/>
          <w:szCs w:val="21"/>
        </w:rPr>
        <w:t>上，点燃艾柱，</w:t>
      </w:r>
      <w:r>
        <w:rPr>
          <w:rFonts w:ascii="宋体" w:hAnsi="宋体" w:eastAsia="宋体" w:cs="宋体"/>
          <w:spacing w:val="-20"/>
          <w:sz w:val="21"/>
          <w:szCs w:val="21"/>
        </w:rPr>
        <w:t xml:space="preserve"> </w:t>
      </w:r>
      <w:r>
        <w:rPr>
          <w:rFonts w:ascii="宋体" w:hAnsi="宋体" w:eastAsia="宋体" w:cs="宋体"/>
          <w:spacing w:val="-3"/>
          <w:sz w:val="21"/>
          <w:szCs w:val="21"/>
        </w:rPr>
        <w:t>如患者感觉过烫，应用无菌生理盐水喷洒针身降温。</w:t>
      </w:r>
    </w:p>
    <w:p>
      <w:pPr>
        <w:spacing w:before="62" w:line="256" w:lineRule="auto"/>
        <w:ind w:left="4" w:firstLine="419"/>
        <w:rPr>
          <w:rFonts w:ascii="宋体" w:hAnsi="宋体" w:eastAsia="宋体" w:cs="宋体"/>
          <w:sz w:val="21"/>
          <w:szCs w:val="21"/>
        </w:rPr>
      </w:pPr>
      <w:r>
        <w:rPr>
          <w:rFonts w:ascii="宋体" w:hAnsi="宋体" w:eastAsia="宋体" w:cs="宋体"/>
          <w:spacing w:val="-2"/>
          <w:sz w:val="21"/>
          <w:szCs w:val="21"/>
        </w:rPr>
        <w:t>——探头导热法：目前临床常用银质针导热巡检仪加热，将导热探头</w:t>
      </w:r>
      <w:r>
        <w:rPr>
          <w:rFonts w:ascii="宋体" w:hAnsi="宋体" w:eastAsia="宋体" w:cs="宋体"/>
          <w:spacing w:val="-3"/>
          <w:sz w:val="21"/>
          <w:szCs w:val="21"/>
        </w:rPr>
        <w:t>套入针尾后进行加热，外加热</w:t>
      </w:r>
      <w:r>
        <w:rPr>
          <w:rFonts w:ascii="宋体" w:hAnsi="宋体" w:eastAsia="宋体" w:cs="宋体"/>
          <w:sz w:val="21"/>
          <w:szCs w:val="21"/>
        </w:rPr>
        <w:t xml:space="preserve"> </w:t>
      </w:r>
      <w:r>
        <w:rPr>
          <w:rFonts w:ascii="宋体" w:hAnsi="宋体" w:eastAsia="宋体" w:cs="宋体"/>
          <w:spacing w:val="-2"/>
          <w:sz w:val="21"/>
          <w:szCs w:val="21"/>
        </w:rPr>
        <w:t>方式需根据各枚针具的不同留针长度而调节加热的温度和加热时间，以免皮</w:t>
      </w:r>
      <w:r>
        <w:rPr>
          <w:rFonts w:ascii="宋体" w:hAnsi="宋体" w:eastAsia="宋体" w:cs="宋体"/>
          <w:spacing w:val="-3"/>
          <w:sz w:val="21"/>
          <w:szCs w:val="21"/>
        </w:rPr>
        <w:t>肤发生烫伤。一般针具与皮</w:t>
      </w:r>
      <w:r>
        <w:rPr>
          <w:rFonts w:ascii="宋体" w:hAnsi="宋体" w:eastAsia="宋体" w:cs="宋体"/>
          <w:sz w:val="21"/>
          <w:szCs w:val="21"/>
        </w:rPr>
        <w:t xml:space="preserve"> </w:t>
      </w:r>
      <w:r>
        <w:rPr>
          <w:rFonts w:ascii="宋体" w:hAnsi="宋体" w:eastAsia="宋体" w:cs="宋体"/>
          <w:spacing w:val="-2"/>
          <w:sz w:val="21"/>
          <w:szCs w:val="21"/>
        </w:rPr>
        <w:t xml:space="preserve">肤接触点温度保持在 </w:t>
      </w:r>
      <w:r>
        <w:rPr>
          <w:rFonts w:ascii="Calibri" w:hAnsi="Calibri" w:eastAsia="Calibri" w:cs="Calibri"/>
          <w:spacing w:val="-2"/>
          <w:sz w:val="21"/>
          <w:szCs w:val="21"/>
        </w:rPr>
        <w:t>42</w:t>
      </w:r>
      <w:r>
        <w:rPr>
          <w:rFonts w:ascii="宋体" w:hAnsi="宋体" w:eastAsia="宋体" w:cs="宋体"/>
          <w:spacing w:val="-2"/>
          <w:sz w:val="21"/>
          <w:szCs w:val="21"/>
        </w:rPr>
        <w:t>～</w:t>
      </w:r>
      <w:r>
        <w:rPr>
          <w:rFonts w:ascii="Calibri" w:hAnsi="Calibri" w:eastAsia="Calibri" w:cs="Calibri"/>
          <w:spacing w:val="-2"/>
          <w:sz w:val="21"/>
          <w:szCs w:val="21"/>
        </w:rPr>
        <w:t>45</w:t>
      </w:r>
      <w:r>
        <w:rPr>
          <w:rFonts w:ascii="Calibri" w:hAnsi="Calibri" w:eastAsia="Calibri" w:cs="Calibri"/>
          <w:spacing w:val="17"/>
          <w:w w:val="101"/>
          <w:sz w:val="21"/>
          <w:szCs w:val="21"/>
        </w:rPr>
        <w:t xml:space="preserve">  </w:t>
      </w:r>
      <w:r>
        <w:rPr>
          <w:rFonts w:ascii="宋体" w:hAnsi="宋体" w:eastAsia="宋体" w:cs="宋体"/>
          <w:spacing w:val="-2"/>
          <w:sz w:val="21"/>
          <w:szCs w:val="21"/>
        </w:rPr>
        <w:t>℃。</w:t>
      </w:r>
    </w:p>
    <w:p>
      <w:pPr>
        <w:spacing w:line="302" w:lineRule="auto"/>
        <w:rPr>
          <w:rFonts w:ascii="Arial"/>
          <w:sz w:val="21"/>
        </w:rPr>
      </w:pPr>
    </w:p>
    <w:p>
      <w:pPr>
        <w:pStyle w:val="2"/>
        <w:spacing w:before="68" w:line="221" w:lineRule="auto"/>
        <w:outlineLvl w:val="2"/>
        <w:rPr>
          <w:sz w:val="21"/>
          <w:szCs w:val="21"/>
        </w:rPr>
      </w:pPr>
      <w:r>
        <w:rPr>
          <w:spacing w:val="-2"/>
          <w:sz w:val="21"/>
          <w:szCs w:val="21"/>
        </w:rPr>
        <w:t>5.2.8</w:t>
      </w:r>
      <w:r>
        <w:rPr>
          <w:spacing w:val="23"/>
          <w:sz w:val="21"/>
          <w:szCs w:val="21"/>
        </w:rPr>
        <w:t xml:space="preserve"> </w:t>
      </w:r>
      <w:r>
        <w:rPr>
          <w:spacing w:val="-2"/>
          <w:sz w:val="21"/>
          <w:szCs w:val="21"/>
        </w:rPr>
        <w:t>出针</w:t>
      </w:r>
    </w:p>
    <w:p>
      <w:pPr>
        <w:spacing w:line="303" w:lineRule="auto"/>
        <w:rPr>
          <w:rFonts w:ascii="Arial"/>
          <w:sz w:val="21"/>
        </w:rPr>
      </w:pPr>
    </w:p>
    <w:p>
      <w:pPr>
        <w:spacing w:before="69" w:line="247" w:lineRule="auto"/>
        <w:ind w:left="7" w:firstLine="420"/>
        <w:rPr>
          <w:rFonts w:ascii="宋体" w:hAnsi="宋体" w:eastAsia="宋体" w:cs="宋体"/>
          <w:sz w:val="21"/>
          <w:szCs w:val="21"/>
        </w:rPr>
      </w:pPr>
      <w:r>
        <w:rPr>
          <w:rFonts w:ascii="宋体" w:hAnsi="宋体" w:eastAsia="宋体" w:cs="宋体"/>
          <w:spacing w:val="-2"/>
          <w:sz w:val="21"/>
          <w:szCs w:val="21"/>
        </w:rPr>
        <w:t>艾柱导热法待艾球燃尽，</w:t>
      </w:r>
      <w:r>
        <w:rPr>
          <w:rFonts w:ascii="宋体" w:hAnsi="宋体" w:eastAsia="宋体" w:cs="宋体"/>
          <w:spacing w:val="-52"/>
          <w:sz w:val="21"/>
          <w:szCs w:val="21"/>
        </w:rPr>
        <w:t xml:space="preserve"> </w:t>
      </w:r>
      <w:r>
        <w:rPr>
          <w:rFonts w:ascii="宋体" w:hAnsi="宋体" w:eastAsia="宋体" w:cs="宋体"/>
          <w:spacing w:val="-2"/>
          <w:sz w:val="21"/>
          <w:szCs w:val="21"/>
        </w:rPr>
        <w:t>探头导热法待导热探头加</w:t>
      </w:r>
      <w:r>
        <w:rPr>
          <w:rFonts w:ascii="宋体" w:hAnsi="宋体" w:eastAsia="宋体" w:cs="宋体"/>
          <w:spacing w:val="-3"/>
          <w:sz w:val="21"/>
          <w:szCs w:val="21"/>
        </w:rPr>
        <w:t xml:space="preserve">热 </w:t>
      </w:r>
      <w:r>
        <w:rPr>
          <w:rFonts w:ascii="Calibri" w:hAnsi="Calibri" w:eastAsia="Calibri" w:cs="Calibri"/>
          <w:spacing w:val="-3"/>
          <w:sz w:val="21"/>
          <w:szCs w:val="21"/>
        </w:rPr>
        <w:t>15</w:t>
      </w:r>
      <w:r>
        <w:rPr>
          <w:rFonts w:ascii="宋体" w:hAnsi="宋体" w:eastAsia="宋体" w:cs="宋体"/>
          <w:spacing w:val="-3"/>
          <w:sz w:val="21"/>
          <w:szCs w:val="21"/>
        </w:rPr>
        <w:t>～</w:t>
      </w:r>
      <w:r>
        <w:rPr>
          <w:rFonts w:ascii="Calibri" w:hAnsi="Calibri" w:eastAsia="Calibri" w:cs="Calibri"/>
          <w:spacing w:val="-3"/>
          <w:sz w:val="21"/>
          <w:szCs w:val="21"/>
        </w:rPr>
        <w:t>20</w:t>
      </w:r>
      <w:r>
        <w:rPr>
          <w:rFonts w:ascii="Calibri" w:hAnsi="Calibri" w:eastAsia="Calibri" w:cs="Calibri"/>
          <w:spacing w:val="16"/>
          <w:w w:val="101"/>
          <w:sz w:val="21"/>
          <w:szCs w:val="21"/>
        </w:rPr>
        <w:t xml:space="preserve"> </w:t>
      </w:r>
      <w:r>
        <w:rPr>
          <w:rFonts w:ascii="Calibri" w:hAnsi="Calibri" w:eastAsia="Calibri" w:cs="Calibri"/>
          <w:spacing w:val="-3"/>
          <w:sz w:val="21"/>
          <w:szCs w:val="21"/>
        </w:rPr>
        <w:t xml:space="preserve">min  </w:t>
      </w:r>
      <w:r>
        <w:rPr>
          <w:rFonts w:ascii="宋体" w:hAnsi="宋体" w:eastAsia="宋体" w:cs="宋体"/>
          <w:spacing w:val="-3"/>
          <w:sz w:val="21"/>
          <w:szCs w:val="21"/>
        </w:rPr>
        <w:t>结束后自动关机，待针刺针冷却</w:t>
      </w:r>
      <w:r>
        <w:rPr>
          <w:rFonts w:ascii="宋体" w:hAnsi="宋体" w:eastAsia="宋体" w:cs="宋体"/>
          <w:sz w:val="21"/>
          <w:szCs w:val="21"/>
        </w:rPr>
        <w:t xml:space="preserve"> </w:t>
      </w:r>
      <w:r>
        <w:rPr>
          <w:rFonts w:ascii="宋体" w:hAnsi="宋体" w:eastAsia="宋体" w:cs="宋体"/>
          <w:spacing w:val="-4"/>
          <w:sz w:val="21"/>
          <w:szCs w:val="21"/>
        </w:rPr>
        <w:t>后逐一起针，并按压以避免针刺病变组织内出血，</w:t>
      </w:r>
      <w:r>
        <w:rPr>
          <w:rFonts w:ascii="宋体" w:hAnsi="宋体" w:eastAsia="宋体" w:cs="宋体"/>
          <w:spacing w:val="-17"/>
          <w:sz w:val="21"/>
          <w:szCs w:val="21"/>
        </w:rPr>
        <w:t xml:space="preserve"> </w:t>
      </w:r>
      <w:r>
        <w:rPr>
          <w:rFonts w:ascii="宋体" w:hAnsi="宋体" w:eastAsia="宋体" w:cs="宋体"/>
          <w:spacing w:val="-4"/>
          <w:sz w:val="21"/>
          <w:szCs w:val="21"/>
        </w:rPr>
        <w:t>形成血肿。</w:t>
      </w:r>
    </w:p>
    <w:p>
      <w:pPr>
        <w:spacing w:line="303" w:lineRule="auto"/>
        <w:rPr>
          <w:rFonts w:ascii="Arial"/>
          <w:sz w:val="21"/>
        </w:rPr>
      </w:pPr>
    </w:p>
    <w:p>
      <w:pPr>
        <w:pStyle w:val="2"/>
        <w:spacing w:before="69" w:line="221" w:lineRule="auto"/>
        <w:outlineLvl w:val="2"/>
        <w:rPr>
          <w:sz w:val="21"/>
          <w:szCs w:val="21"/>
        </w:rPr>
      </w:pPr>
      <w:r>
        <w:rPr>
          <w:sz w:val="21"/>
          <w:szCs w:val="21"/>
        </w:rPr>
        <w:t>5.2.9 术后处理</w:t>
      </w:r>
    </w:p>
    <w:p>
      <w:pPr>
        <w:spacing w:line="303" w:lineRule="auto"/>
        <w:rPr>
          <w:rFonts w:ascii="Arial"/>
          <w:sz w:val="21"/>
        </w:rPr>
      </w:pPr>
    </w:p>
    <w:p>
      <w:pPr>
        <w:spacing w:before="68" w:line="247" w:lineRule="auto"/>
        <w:ind w:left="7" w:right="408"/>
        <w:rPr>
          <w:rFonts w:ascii="宋体" w:hAnsi="宋体" w:eastAsia="宋体" w:cs="宋体"/>
          <w:sz w:val="21"/>
          <w:szCs w:val="21"/>
        </w:rPr>
      </w:pPr>
      <w:r>
        <w:rPr>
          <w:rFonts w:ascii="Calibri" w:hAnsi="Calibri" w:eastAsia="Calibri" w:cs="Calibri"/>
          <w:spacing w:val="-1"/>
          <w:sz w:val="21"/>
          <w:szCs w:val="21"/>
        </w:rPr>
        <w:t>5.2.1</w:t>
      </w:r>
      <w:r>
        <w:rPr>
          <w:rFonts w:ascii="Calibri" w:hAnsi="Calibri" w:eastAsia="Calibri" w:cs="Calibri"/>
          <w:spacing w:val="14"/>
          <w:w w:val="101"/>
          <w:sz w:val="21"/>
          <w:szCs w:val="21"/>
        </w:rPr>
        <w:t xml:space="preserve"> </w:t>
      </w:r>
      <w:r>
        <w:rPr>
          <w:rFonts w:ascii="宋体" w:hAnsi="宋体" w:eastAsia="宋体" w:cs="宋体"/>
          <w:spacing w:val="-1"/>
          <w:sz w:val="21"/>
          <w:szCs w:val="21"/>
        </w:rPr>
        <w:t xml:space="preserve">在针眼处涂以 </w:t>
      </w:r>
      <w:r>
        <w:rPr>
          <w:rFonts w:ascii="Calibri" w:hAnsi="Calibri" w:eastAsia="Calibri" w:cs="Calibri"/>
          <w:spacing w:val="-1"/>
          <w:sz w:val="21"/>
          <w:szCs w:val="21"/>
        </w:rPr>
        <w:t>0.3%</w:t>
      </w:r>
      <w:r>
        <w:rPr>
          <w:rFonts w:ascii="宋体" w:hAnsi="宋体" w:eastAsia="宋体" w:cs="宋体"/>
          <w:spacing w:val="-1"/>
          <w:sz w:val="21"/>
          <w:szCs w:val="21"/>
        </w:rPr>
        <w:t>～</w:t>
      </w:r>
      <w:r>
        <w:rPr>
          <w:rFonts w:ascii="Calibri" w:hAnsi="Calibri" w:eastAsia="Calibri" w:cs="Calibri"/>
          <w:spacing w:val="-1"/>
          <w:sz w:val="21"/>
          <w:szCs w:val="21"/>
        </w:rPr>
        <w:t xml:space="preserve">0.5%  </w:t>
      </w:r>
      <w:r>
        <w:rPr>
          <w:rFonts w:ascii="宋体" w:hAnsi="宋体" w:eastAsia="宋体" w:cs="宋体"/>
          <w:spacing w:val="-1"/>
          <w:sz w:val="21"/>
          <w:szCs w:val="21"/>
        </w:rPr>
        <w:t>碘伏消毒。</w:t>
      </w:r>
      <w:r>
        <w:rPr>
          <w:rFonts w:ascii="Calibri" w:hAnsi="Calibri" w:eastAsia="Calibri" w:cs="Calibri"/>
          <w:spacing w:val="-1"/>
          <w:sz w:val="21"/>
          <w:szCs w:val="21"/>
        </w:rPr>
        <w:t>3 d</w:t>
      </w:r>
      <w:r>
        <w:rPr>
          <w:rFonts w:ascii="Calibri" w:hAnsi="Calibri" w:eastAsia="Calibri" w:cs="Calibri"/>
          <w:spacing w:val="-2"/>
          <w:sz w:val="21"/>
          <w:szCs w:val="21"/>
        </w:rPr>
        <w:t xml:space="preserve">  </w:t>
      </w:r>
      <w:r>
        <w:rPr>
          <w:rFonts w:ascii="宋体" w:hAnsi="宋体" w:eastAsia="宋体" w:cs="宋体"/>
          <w:spacing w:val="-2"/>
          <w:sz w:val="21"/>
          <w:szCs w:val="21"/>
        </w:rPr>
        <w:t>内不浸洗患部或不与水接触，以免针孔皮肤感染。</w:t>
      </w:r>
      <w:r>
        <w:rPr>
          <w:rFonts w:ascii="宋体" w:hAnsi="宋体" w:eastAsia="宋体" w:cs="宋体"/>
          <w:sz w:val="21"/>
          <w:szCs w:val="21"/>
        </w:rPr>
        <w:t xml:space="preserve"> </w:t>
      </w:r>
      <w:r>
        <w:rPr>
          <w:rFonts w:ascii="Calibri" w:hAnsi="Calibri" w:eastAsia="Calibri" w:cs="Calibri"/>
          <w:spacing w:val="-1"/>
          <w:sz w:val="21"/>
          <w:szCs w:val="21"/>
        </w:rPr>
        <w:t xml:space="preserve">5.2.2  </w:t>
      </w:r>
      <w:r>
        <w:rPr>
          <w:rFonts w:ascii="宋体" w:hAnsi="宋体" w:eastAsia="宋体" w:cs="宋体"/>
          <w:spacing w:val="-1"/>
          <w:sz w:val="21"/>
          <w:szCs w:val="21"/>
        </w:rPr>
        <w:t>治疗后，应注意休息、保暖，避免感受风寒。</w:t>
      </w:r>
    </w:p>
    <w:p>
      <w:pPr>
        <w:spacing w:before="61" w:line="624" w:lineRule="exact"/>
        <w:ind w:left="7"/>
        <w:outlineLvl w:val="2"/>
        <w:rPr>
          <w:rFonts w:ascii="宋体" w:hAnsi="宋体" w:eastAsia="宋体" w:cs="宋体"/>
          <w:sz w:val="21"/>
          <w:szCs w:val="21"/>
        </w:rPr>
      </w:pPr>
      <w:r>
        <w:rPr>
          <w:rFonts w:ascii="Calibri" w:hAnsi="Calibri" w:eastAsia="Calibri" w:cs="Calibri"/>
          <w:spacing w:val="-1"/>
          <w:position w:val="32"/>
          <w:sz w:val="21"/>
          <w:szCs w:val="21"/>
        </w:rPr>
        <w:t xml:space="preserve">5.2.3  </w:t>
      </w:r>
      <w:r>
        <w:rPr>
          <w:rFonts w:ascii="宋体" w:hAnsi="宋体" w:eastAsia="宋体" w:cs="宋体"/>
          <w:spacing w:val="-1"/>
          <w:position w:val="32"/>
          <w:sz w:val="21"/>
          <w:szCs w:val="21"/>
        </w:rPr>
        <w:t>治疗后，宜适量补充水分和少量易消化食物。</w:t>
      </w:r>
    </w:p>
    <w:p>
      <w:pPr>
        <w:pStyle w:val="2"/>
        <w:spacing w:before="1" w:line="219" w:lineRule="auto"/>
        <w:ind w:left="4"/>
        <w:outlineLvl w:val="0"/>
        <w:rPr>
          <w:sz w:val="21"/>
          <w:szCs w:val="21"/>
        </w:rPr>
      </w:pPr>
      <w:bookmarkStart w:id="12" w:name="_Toc4450"/>
      <w:r>
        <w:rPr>
          <w:spacing w:val="-4"/>
          <w:sz w:val="21"/>
          <w:szCs w:val="21"/>
        </w:rPr>
        <w:t>6</w:t>
      </w:r>
      <w:r>
        <w:rPr>
          <w:spacing w:val="11"/>
          <w:sz w:val="21"/>
          <w:szCs w:val="21"/>
        </w:rPr>
        <w:t xml:space="preserve"> </w:t>
      </w:r>
      <w:r>
        <w:rPr>
          <w:spacing w:val="-4"/>
          <w:sz w:val="21"/>
          <w:szCs w:val="21"/>
        </w:rPr>
        <w:t>禁忌症</w:t>
      </w:r>
      <w:bookmarkEnd w:id="12"/>
    </w:p>
    <w:p>
      <w:pPr>
        <w:spacing w:line="305" w:lineRule="auto"/>
        <w:rPr>
          <w:rFonts w:ascii="Arial"/>
          <w:sz w:val="21"/>
        </w:rPr>
      </w:pPr>
    </w:p>
    <w:p>
      <w:pPr>
        <w:spacing w:before="68" w:line="247" w:lineRule="auto"/>
        <w:ind w:left="8" w:right="6336"/>
        <w:rPr>
          <w:rFonts w:ascii="宋体" w:hAnsi="宋体" w:eastAsia="宋体" w:cs="宋体"/>
          <w:sz w:val="21"/>
          <w:szCs w:val="21"/>
        </w:rPr>
      </w:pPr>
      <w:r>
        <w:rPr>
          <w:rFonts w:ascii="Calibri" w:hAnsi="Calibri" w:eastAsia="Calibri" w:cs="Calibri"/>
          <w:spacing w:val="-3"/>
          <w:sz w:val="21"/>
          <w:szCs w:val="21"/>
        </w:rPr>
        <w:t>6.1</w:t>
      </w:r>
      <w:r>
        <w:rPr>
          <w:rFonts w:ascii="Calibri" w:hAnsi="Calibri" w:eastAsia="Calibri" w:cs="Calibri"/>
          <w:spacing w:val="15"/>
          <w:sz w:val="21"/>
          <w:szCs w:val="21"/>
        </w:rPr>
        <w:t xml:space="preserve"> </w:t>
      </w:r>
      <w:r>
        <w:rPr>
          <w:rFonts w:ascii="宋体" w:hAnsi="宋体" w:eastAsia="宋体" w:cs="宋体"/>
          <w:spacing w:val="-3"/>
          <w:sz w:val="21"/>
          <w:szCs w:val="21"/>
        </w:rPr>
        <w:t>非退行性因素致椎管狭窄者。</w:t>
      </w:r>
      <w:r>
        <w:rPr>
          <w:rFonts w:ascii="宋体" w:hAnsi="宋体" w:eastAsia="宋体" w:cs="宋体"/>
          <w:sz w:val="21"/>
          <w:szCs w:val="21"/>
        </w:rPr>
        <w:t xml:space="preserve"> </w:t>
      </w:r>
      <w:r>
        <w:rPr>
          <w:rFonts w:ascii="Calibri" w:hAnsi="Calibri" w:eastAsia="Calibri" w:cs="Calibri"/>
          <w:spacing w:val="-1"/>
          <w:sz w:val="21"/>
          <w:szCs w:val="21"/>
        </w:rPr>
        <w:t>6.2.</w:t>
      </w:r>
      <w:r>
        <w:rPr>
          <w:rFonts w:ascii="宋体" w:hAnsi="宋体" w:eastAsia="宋体" w:cs="宋体"/>
          <w:spacing w:val="-1"/>
          <w:sz w:val="21"/>
          <w:szCs w:val="21"/>
        </w:rPr>
        <w:t>中、重度骨质疏松患者。</w:t>
      </w:r>
    </w:p>
    <w:p>
      <w:pPr>
        <w:spacing w:before="61" w:line="221" w:lineRule="auto"/>
        <w:ind w:left="8"/>
        <w:outlineLvl w:val="1"/>
        <w:rPr>
          <w:rFonts w:ascii="宋体" w:hAnsi="宋体" w:eastAsia="宋体" w:cs="宋体"/>
          <w:sz w:val="21"/>
          <w:szCs w:val="21"/>
        </w:rPr>
      </w:pPr>
      <w:bookmarkStart w:id="13" w:name="_Toc1943"/>
      <w:r>
        <w:rPr>
          <w:rFonts w:ascii="Calibri" w:hAnsi="Calibri" w:eastAsia="Calibri" w:cs="Calibri"/>
          <w:spacing w:val="-1"/>
          <w:sz w:val="21"/>
          <w:szCs w:val="21"/>
        </w:rPr>
        <w:t xml:space="preserve">6.3 </w:t>
      </w:r>
      <w:r>
        <w:rPr>
          <w:rFonts w:ascii="宋体" w:hAnsi="宋体" w:eastAsia="宋体" w:cs="宋体"/>
          <w:spacing w:val="-1"/>
          <w:sz w:val="21"/>
          <w:szCs w:val="21"/>
        </w:rPr>
        <w:t>进行性根性损害或马尾神经功能障碍。</w:t>
      </w:r>
      <w:bookmarkEnd w:id="13"/>
    </w:p>
    <w:p>
      <w:pPr>
        <w:spacing w:before="61" w:line="220" w:lineRule="auto"/>
        <w:ind w:left="8"/>
        <w:rPr>
          <w:rFonts w:ascii="宋体" w:hAnsi="宋体" w:eastAsia="宋体" w:cs="宋体"/>
          <w:sz w:val="21"/>
          <w:szCs w:val="21"/>
        </w:rPr>
      </w:pPr>
      <w:r>
        <w:rPr>
          <w:rFonts w:ascii="Calibri" w:hAnsi="Calibri" w:eastAsia="Calibri" w:cs="Calibri"/>
          <w:spacing w:val="-1"/>
          <w:sz w:val="21"/>
          <w:szCs w:val="21"/>
        </w:rPr>
        <w:t>6.4</w:t>
      </w:r>
      <w:r>
        <w:rPr>
          <w:rFonts w:ascii="Calibri" w:hAnsi="Calibri" w:eastAsia="Calibri" w:cs="Calibri"/>
          <w:spacing w:val="29"/>
          <w:sz w:val="21"/>
          <w:szCs w:val="21"/>
        </w:rPr>
        <w:t xml:space="preserve"> </w:t>
      </w:r>
      <w:r>
        <w:rPr>
          <w:rFonts w:ascii="宋体" w:hAnsi="宋体" w:eastAsia="宋体" w:cs="宋体"/>
          <w:spacing w:val="-1"/>
          <w:sz w:val="21"/>
          <w:szCs w:val="21"/>
        </w:rPr>
        <w:t>影像检查示腰椎椎弓根狭部裂及脊柱肿瘤、结核、感染等疾病。</w:t>
      </w:r>
    </w:p>
    <w:p>
      <w:pPr>
        <w:spacing w:before="62" w:line="220" w:lineRule="auto"/>
        <w:ind w:left="8"/>
        <w:rPr>
          <w:rFonts w:ascii="宋体" w:hAnsi="宋体" w:eastAsia="宋体" w:cs="宋体"/>
          <w:sz w:val="21"/>
          <w:szCs w:val="21"/>
        </w:rPr>
      </w:pPr>
      <w:r>
        <w:rPr>
          <w:rFonts w:ascii="Calibri" w:hAnsi="Calibri" w:eastAsia="Calibri" w:cs="Calibri"/>
          <w:spacing w:val="-3"/>
          <w:sz w:val="21"/>
          <w:szCs w:val="21"/>
        </w:rPr>
        <w:t>6.5</w:t>
      </w:r>
      <w:r>
        <w:rPr>
          <w:rFonts w:ascii="Calibri" w:hAnsi="Calibri" w:eastAsia="Calibri" w:cs="Calibri"/>
          <w:spacing w:val="28"/>
          <w:w w:val="102"/>
          <w:sz w:val="21"/>
          <w:szCs w:val="21"/>
        </w:rPr>
        <w:t xml:space="preserve"> </w:t>
      </w:r>
      <w:r>
        <w:rPr>
          <w:rFonts w:ascii="宋体" w:hAnsi="宋体" w:eastAsia="宋体" w:cs="宋体"/>
          <w:spacing w:val="-3"/>
          <w:sz w:val="21"/>
          <w:szCs w:val="21"/>
        </w:rPr>
        <w:t>合并严重肝肾疾病、心脑血管、呼吸系统、糖尿病等内科疾病，</w:t>
      </w:r>
      <w:r>
        <w:rPr>
          <w:rFonts w:ascii="宋体" w:hAnsi="宋体" w:eastAsia="宋体" w:cs="宋体"/>
          <w:spacing w:val="-21"/>
          <w:sz w:val="21"/>
          <w:szCs w:val="21"/>
        </w:rPr>
        <w:t xml:space="preserve"> </w:t>
      </w:r>
      <w:r>
        <w:rPr>
          <w:rFonts w:ascii="宋体" w:hAnsi="宋体" w:eastAsia="宋体" w:cs="宋体"/>
          <w:spacing w:val="-3"/>
          <w:sz w:val="21"/>
          <w:szCs w:val="21"/>
        </w:rPr>
        <w:t>或精神病患者。</w:t>
      </w:r>
    </w:p>
    <w:p>
      <w:pPr>
        <w:spacing w:before="62" w:line="220" w:lineRule="auto"/>
        <w:ind w:left="8"/>
        <w:rPr>
          <w:rFonts w:ascii="宋体" w:hAnsi="宋体" w:eastAsia="宋体" w:cs="宋体"/>
          <w:sz w:val="21"/>
          <w:szCs w:val="21"/>
        </w:rPr>
      </w:pPr>
      <w:r>
        <w:rPr>
          <w:rFonts w:ascii="Calibri" w:hAnsi="Calibri" w:eastAsia="Calibri" w:cs="Calibri"/>
          <w:spacing w:val="-1"/>
          <w:sz w:val="21"/>
          <w:szCs w:val="21"/>
        </w:rPr>
        <w:t>6.6</w:t>
      </w:r>
      <w:r>
        <w:rPr>
          <w:rFonts w:ascii="Calibri" w:hAnsi="Calibri" w:eastAsia="Calibri" w:cs="Calibri"/>
          <w:spacing w:val="16"/>
          <w:w w:val="101"/>
          <w:sz w:val="21"/>
          <w:szCs w:val="21"/>
        </w:rPr>
        <w:t xml:space="preserve"> </w:t>
      </w:r>
      <w:r>
        <w:rPr>
          <w:rFonts w:ascii="宋体" w:hAnsi="宋体" w:eastAsia="宋体" w:cs="宋体"/>
          <w:spacing w:val="-1"/>
          <w:sz w:val="21"/>
          <w:szCs w:val="21"/>
        </w:rPr>
        <w:t>严重下肢静脉曲张或软组织感染者。</w:t>
      </w:r>
    </w:p>
    <w:p>
      <w:pPr>
        <w:spacing w:before="61" w:line="221" w:lineRule="auto"/>
        <w:ind w:left="8"/>
        <w:rPr>
          <w:rFonts w:ascii="宋体" w:hAnsi="宋体" w:eastAsia="宋体" w:cs="宋体"/>
          <w:sz w:val="21"/>
          <w:szCs w:val="21"/>
        </w:rPr>
      </w:pPr>
      <w:r>
        <w:rPr>
          <w:rFonts w:ascii="Calibri" w:hAnsi="Calibri" w:eastAsia="Calibri" w:cs="Calibri"/>
          <w:spacing w:val="-1"/>
          <w:sz w:val="21"/>
          <w:szCs w:val="21"/>
        </w:rPr>
        <w:t>6.7</w:t>
      </w:r>
      <w:r>
        <w:rPr>
          <w:rFonts w:ascii="Calibri" w:hAnsi="Calibri" w:eastAsia="Calibri" w:cs="Calibri"/>
          <w:spacing w:val="18"/>
          <w:w w:val="101"/>
          <w:sz w:val="21"/>
          <w:szCs w:val="21"/>
        </w:rPr>
        <w:t xml:space="preserve"> </w:t>
      </w:r>
      <w:r>
        <w:rPr>
          <w:rFonts w:ascii="宋体" w:hAnsi="宋体" w:eastAsia="宋体" w:cs="宋体"/>
          <w:spacing w:val="-1"/>
          <w:sz w:val="21"/>
          <w:szCs w:val="21"/>
        </w:rPr>
        <w:t>麻药过敏、过敏体质或对银质针局过敏者。</w:t>
      </w:r>
    </w:p>
    <w:p>
      <w:pPr>
        <w:spacing w:before="62" w:line="221" w:lineRule="auto"/>
        <w:ind w:left="8"/>
        <w:rPr>
          <w:rFonts w:ascii="宋体" w:hAnsi="宋体" w:eastAsia="宋体" w:cs="宋体"/>
          <w:sz w:val="21"/>
          <w:szCs w:val="21"/>
        </w:rPr>
      </w:pPr>
      <w:r>
        <w:rPr>
          <w:rFonts w:ascii="Calibri" w:hAnsi="Calibri" w:eastAsia="Calibri" w:cs="Calibri"/>
          <w:spacing w:val="-2"/>
          <w:sz w:val="21"/>
          <w:szCs w:val="21"/>
        </w:rPr>
        <w:t>6.8</w:t>
      </w:r>
      <w:r>
        <w:rPr>
          <w:rFonts w:ascii="Calibri" w:hAnsi="Calibri" w:eastAsia="Calibri" w:cs="Calibri"/>
          <w:spacing w:val="21"/>
          <w:sz w:val="21"/>
          <w:szCs w:val="21"/>
        </w:rPr>
        <w:t xml:space="preserve"> </w:t>
      </w:r>
      <w:r>
        <w:rPr>
          <w:rFonts w:ascii="宋体" w:hAnsi="宋体" w:eastAsia="宋体" w:cs="宋体"/>
          <w:spacing w:val="-2"/>
          <w:sz w:val="21"/>
          <w:szCs w:val="21"/>
        </w:rPr>
        <w:t>髋、膝源性腰痛患者。</w:t>
      </w:r>
    </w:p>
    <w:p>
      <w:pPr>
        <w:spacing w:before="60" w:line="221" w:lineRule="auto"/>
        <w:ind w:left="8"/>
        <w:rPr>
          <w:rFonts w:ascii="宋体" w:hAnsi="宋体" w:eastAsia="宋体" w:cs="宋体"/>
          <w:sz w:val="21"/>
          <w:szCs w:val="21"/>
        </w:rPr>
      </w:pPr>
      <w:r>
        <w:rPr>
          <w:rFonts w:ascii="Calibri" w:hAnsi="Calibri" w:eastAsia="Calibri" w:cs="Calibri"/>
          <w:spacing w:val="-3"/>
          <w:sz w:val="21"/>
          <w:szCs w:val="21"/>
        </w:rPr>
        <w:t>6.9</w:t>
      </w:r>
      <w:r>
        <w:rPr>
          <w:rFonts w:ascii="Calibri" w:hAnsi="Calibri" w:eastAsia="Calibri" w:cs="Calibri"/>
          <w:spacing w:val="38"/>
          <w:w w:val="101"/>
          <w:sz w:val="21"/>
          <w:szCs w:val="21"/>
        </w:rPr>
        <w:t xml:space="preserve"> </w:t>
      </w:r>
      <w:r>
        <w:rPr>
          <w:rFonts w:ascii="宋体" w:hAnsi="宋体" w:eastAsia="宋体" w:cs="宋体"/>
          <w:spacing w:val="-3"/>
          <w:sz w:val="21"/>
          <w:szCs w:val="21"/>
        </w:rPr>
        <w:t>中、重度骨质疏松患者。</w:t>
      </w:r>
    </w:p>
    <w:p>
      <w:pPr>
        <w:spacing w:line="303" w:lineRule="auto"/>
        <w:rPr>
          <w:rFonts w:ascii="Arial"/>
          <w:sz w:val="21"/>
        </w:rPr>
      </w:pPr>
    </w:p>
    <w:p>
      <w:pPr>
        <w:pStyle w:val="2"/>
        <w:spacing w:before="68" w:line="221" w:lineRule="auto"/>
        <w:ind w:left="6"/>
        <w:outlineLvl w:val="0"/>
        <w:rPr>
          <w:sz w:val="21"/>
          <w:szCs w:val="21"/>
        </w:rPr>
      </w:pPr>
      <w:bookmarkStart w:id="14" w:name="_Toc16924"/>
      <w:r>
        <w:rPr>
          <w:spacing w:val="-4"/>
          <w:sz w:val="21"/>
          <w:szCs w:val="21"/>
        </w:rPr>
        <w:t>7</w:t>
      </w:r>
      <w:r>
        <w:rPr>
          <w:spacing w:val="13"/>
          <w:sz w:val="21"/>
          <w:szCs w:val="21"/>
        </w:rPr>
        <w:t xml:space="preserve"> </w:t>
      </w:r>
      <w:r>
        <w:rPr>
          <w:spacing w:val="-4"/>
          <w:sz w:val="21"/>
          <w:szCs w:val="21"/>
        </w:rPr>
        <w:t>应急处置</w:t>
      </w:r>
      <w:bookmarkEnd w:id="14"/>
    </w:p>
    <w:p>
      <w:pPr>
        <w:spacing w:line="302" w:lineRule="auto"/>
        <w:rPr>
          <w:rFonts w:ascii="Arial"/>
          <w:sz w:val="21"/>
        </w:rPr>
      </w:pPr>
    </w:p>
    <w:p>
      <w:pPr>
        <w:spacing w:before="69" w:line="624" w:lineRule="exact"/>
        <w:ind w:left="430"/>
        <w:rPr>
          <w:rFonts w:ascii="宋体" w:hAnsi="宋体" w:eastAsia="宋体" w:cs="宋体"/>
          <w:sz w:val="21"/>
          <w:szCs w:val="21"/>
        </w:rPr>
      </w:pPr>
      <w:r>
        <w:rPr>
          <w:rFonts w:ascii="宋体" w:hAnsi="宋体" w:eastAsia="宋体" w:cs="宋体"/>
          <w:spacing w:val="-2"/>
          <w:position w:val="31"/>
          <w:sz w:val="21"/>
          <w:szCs w:val="21"/>
        </w:rPr>
        <w:t>晕针等参照</w:t>
      </w:r>
      <w:r>
        <w:rPr>
          <w:rFonts w:ascii="宋体" w:hAnsi="宋体" w:eastAsia="宋体" w:cs="宋体"/>
          <w:spacing w:val="-36"/>
          <w:position w:val="31"/>
          <w:sz w:val="21"/>
          <w:szCs w:val="21"/>
        </w:rPr>
        <w:t xml:space="preserve"> </w:t>
      </w:r>
      <w:r>
        <w:rPr>
          <w:rFonts w:ascii="Calibri" w:hAnsi="Calibri" w:eastAsia="Calibri" w:cs="Calibri"/>
          <w:color w:val="333333"/>
          <w:spacing w:val="-2"/>
          <w:position w:val="31"/>
          <w:sz w:val="21"/>
          <w:szCs w:val="21"/>
        </w:rPr>
        <w:t>T/CMAM ZH1-2023</w:t>
      </w:r>
      <w:r>
        <w:rPr>
          <w:rFonts w:ascii="Calibri" w:hAnsi="Calibri" w:eastAsia="Calibri" w:cs="Calibri"/>
          <w:color w:val="333333"/>
          <w:spacing w:val="12"/>
          <w:w w:val="101"/>
          <w:position w:val="31"/>
          <w:sz w:val="21"/>
          <w:szCs w:val="21"/>
        </w:rPr>
        <w:t xml:space="preserve"> </w:t>
      </w:r>
      <w:r>
        <w:rPr>
          <w:rFonts w:ascii="宋体" w:hAnsi="宋体" w:eastAsia="宋体" w:cs="宋体"/>
          <w:color w:val="333333"/>
          <w:spacing w:val="-2"/>
          <w:position w:val="31"/>
          <w:sz w:val="21"/>
          <w:szCs w:val="21"/>
        </w:rPr>
        <w:t>执行。</w:t>
      </w:r>
    </w:p>
    <w:p>
      <w:pPr>
        <w:pStyle w:val="2"/>
        <w:spacing w:before="1" w:line="220" w:lineRule="auto"/>
        <w:ind w:left="3"/>
        <w:outlineLvl w:val="0"/>
        <w:rPr>
          <w:sz w:val="21"/>
          <w:szCs w:val="21"/>
        </w:rPr>
      </w:pPr>
      <w:bookmarkStart w:id="15" w:name="_Toc12558"/>
      <w:r>
        <w:rPr>
          <w:spacing w:val="-1"/>
          <w:sz w:val="21"/>
          <w:szCs w:val="21"/>
        </w:rPr>
        <w:t>8 术者要求</w:t>
      </w:r>
      <w:bookmarkEnd w:id="15"/>
    </w:p>
    <w:p>
      <w:pPr>
        <w:spacing w:line="304" w:lineRule="auto"/>
        <w:rPr>
          <w:rFonts w:ascii="Arial"/>
          <w:sz w:val="21"/>
        </w:rPr>
      </w:pPr>
    </w:p>
    <w:p>
      <w:pPr>
        <w:spacing w:before="68" w:line="256" w:lineRule="auto"/>
        <w:ind w:left="15" w:right="24" w:firstLine="412"/>
        <w:jc w:val="both"/>
        <w:rPr>
          <w:rFonts w:ascii="宋体" w:hAnsi="宋体" w:eastAsia="宋体" w:cs="宋体"/>
          <w:sz w:val="21"/>
          <w:szCs w:val="21"/>
        </w:rPr>
      </w:pPr>
      <w:r>
        <w:rPr>
          <w:rFonts w:ascii="宋体" w:hAnsi="宋体" w:eastAsia="宋体" w:cs="宋体"/>
          <w:spacing w:val="2"/>
          <w:sz w:val="21"/>
          <w:szCs w:val="21"/>
        </w:rPr>
        <w:t>从业人员通过资格考试、并经注册取得中医类别执业医师执业资格证书后，同时经</w:t>
      </w:r>
      <w:r>
        <w:rPr>
          <w:rFonts w:ascii="宋体" w:hAnsi="宋体" w:eastAsia="宋体" w:cs="宋体"/>
          <w:spacing w:val="1"/>
          <w:sz w:val="21"/>
          <w:szCs w:val="21"/>
        </w:rPr>
        <w:t>过银质针治疗</w:t>
      </w:r>
      <w:r>
        <w:rPr>
          <w:rFonts w:ascii="宋体" w:hAnsi="宋体" w:eastAsia="宋体" w:cs="宋体"/>
          <w:sz w:val="21"/>
          <w:szCs w:val="21"/>
        </w:rPr>
        <w:t xml:space="preserve"> </w:t>
      </w:r>
      <w:r>
        <w:rPr>
          <w:rFonts w:ascii="宋体" w:hAnsi="宋体" w:eastAsia="宋体" w:cs="宋体"/>
          <w:spacing w:val="-4"/>
          <w:sz w:val="21"/>
          <w:szCs w:val="21"/>
        </w:rPr>
        <w:t>的专业培训， 方可从事银质针诊疗服务，具体见《中华人民共和国执业医</w:t>
      </w:r>
      <w:r>
        <w:rPr>
          <w:rFonts w:ascii="宋体" w:hAnsi="宋体" w:eastAsia="宋体" w:cs="宋体"/>
          <w:spacing w:val="-5"/>
          <w:sz w:val="21"/>
          <w:szCs w:val="21"/>
        </w:rPr>
        <w:t>师法》《</w:t>
      </w:r>
      <w:r>
        <w:rPr>
          <w:rFonts w:ascii="宋体" w:hAnsi="宋体" w:eastAsia="宋体" w:cs="宋体"/>
          <w:spacing w:val="57"/>
          <w:sz w:val="21"/>
          <w:szCs w:val="21"/>
        </w:rPr>
        <w:t xml:space="preserve"> </w:t>
      </w:r>
      <w:r>
        <w:rPr>
          <w:rFonts w:ascii="宋体" w:hAnsi="宋体" w:eastAsia="宋体" w:cs="宋体"/>
          <w:spacing w:val="-5"/>
          <w:sz w:val="21"/>
          <w:szCs w:val="21"/>
        </w:rPr>
        <w:t>中华人民共和国中</w:t>
      </w:r>
      <w:r>
        <w:rPr>
          <w:rFonts w:ascii="宋体" w:hAnsi="宋体" w:eastAsia="宋体" w:cs="宋体"/>
          <w:sz w:val="21"/>
          <w:szCs w:val="21"/>
        </w:rPr>
        <w:t xml:space="preserve"> </w:t>
      </w:r>
      <w:r>
        <w:rPr>
          <w:rFonts w:ascii="宋体" w:hAnsi="宋体" w:eastAsia="宋体" w:cs="宋体"/>
          <w:spacing w:val="-22"/>
          <w:sz w:val="21"/>
          <w:szCs w:val="21"/>
        </w:rPr>
        <w:t>医药条例》。</w:t>
      </w:r>
    </w:p>
    <w:p>
      <w:pPr>
        <w:spacing w:line="302" w:lineRule="auto"/>
        <w:rPr>
          <w:rFonts w:ascii="Arial"/>
          <w:sz w:val="21"/>
        </w:rPr>
      </w:pPr>
    </w:p>
    <w:p>
      <w:pPr>
        <w:pStyle w:val="2"/>
        <w:spacing w:before="69" w:line="220" w:lineRule="auto"/>
        <w:outlineLvl w:val="0"/>
        <w:rPr>
          <w:sz w:val="21"/>
          <w:szCs w:val="21"/>
        </w:rPr>
      </w:pPr>
      <w:bookmarkStart w:id="16" w:name="_Toc26339"/>
      <w:r>
        <w:rPr>
          <w:sz w:val="21"/>
          <w:szCs w:val="21"/>
        </w:rPr>
        <w:t>9 疗程及间隔时间</w:t>
      </w:r>
      <w:bookmarkEnd w:id="16"/>
    </w:p>
    <w:p>
      <w:pPr>
        <w:spacing w:line="304" w:lineRule="auto"/>
        <w:rPr>
          <w:rFonts w:ascii="Arial"/>
          <w:sz w:val="21"/>
        </w:rPr>
      </w:pPr>
    </w:p>
    <w:p>
      <w:pPr>
        <w:spacing w:before="69" w:line="221" w:lineRule="auto"/>
        <w:ind w:left="427"/>
        <w:rPr>
          <w:rFonts w:ascii="宋体" w:hAnsi="宋体" w:eastAsia="宋体" w:cs="宋体"/>
          <w:sz w:val="21"/>
          <w:szCs w:val="21"/>
        </w:rPr>
      </w:pPr>
      <w:r>
        <w:rPr>
          <w:rFonts w:ascii="宋体" w:hAnsi="宋体" w:eastAsia="宋体" w:cs="宋体"/>
          <w:color w:val="333333"/>
          <w:spacing w:val="-1"/>
          <w:sz w:val="21"/>
          <w:szCs w:val="21"/>
        </w:rPr>
        <w:t>参照T/CMAM ZH1-2023规定</w:t>
      </w:r>
      <w:r>
        <w:rPr>
          <w:rFonts w:ascii="宋体" w:hAnsi="宋体" w:eastAsia="宋体" w:cs="宋体"/>
          <w:spacing w:val="-1"/>
          <w:sz w:val="21"/>
          <w:szCs w:val="21"/>
        </w:rPr>
        <w:t>。</w:t>
      </w:r>
    </w:p>
    <w:p>
      <w:pPr>
        <w:spacing w:line="221" w:lineRule="auto"/>
        <w:rPr>
          <w:rFonts w:ascii="宋体" w:hAnsi="宋体" w:eastAsia="宋体" w:cs="宋体"/>
          <w:sz w:val="21"/>
          <w:szCs w:val="21"/>
        </w:rPr>
        <w:sectPr>
          <w:headerReference r:id="rId15" w:type="default"/>
          <w:footerReference r:id="rId16" w:type="default"/>
          <w:pgSz w:w="11907" w:h="16839"/>
          <w:pgMar w:top="1656" w:right="1128" w:bottom="1167" w:left="1421" w:header="1445" w:footer="992" w:gutter="0"/>
          <w:cols w:space="720" w:num="1"/>
        </w:sectPr>
      </w:pPr>
    </w:p>
    <w:p>
      <w:pPr>
        <w:spacing w:line="241" w:lineRule="auto"/>
        <w:rPr>
          <w:rFonts w:ascii="Arial"/>
          <w:sz w:val="21"/>
        </w:rPr>
      </w:pPr>
    </w:p>
    <w:p>
      <w:pPr>
        <w:spacing w:before="60" w:line="8" w:lineRule="exact"/>
        <w:ind w:left="2576"/>
        <w:rPr>
          <w:rFonts w:ascii="Times New Roman" w:hAnsi="Times New Roman" w:eastAsia="Times New Roman" w:cs="Times New Roman"/>
          <w:sz w:val="21"/>
          <w:szCs w:val="21"/>
        </w:rPr>
      </w:pPr>
      <w:r>
        <w:rPr>
          <w:rFonts w:ascii="Times New Roman" w:hAnsi="Times New Roman" w:eastAsia="Times New Roman" w:cs="Times New Roman"/>
          <w:position w:val="4"/>
          <w:sz w:val="21"/>
          <w:szCs w:val="21"/>
        </w:rPr>
        <w:t>_________________________________</w:t>
      </w:r>
    </w:p>
    <w:sectPr>
      <w:headerReference r:id="rId17" w:type="default"/>
      <w:footerReference r:id="rId18" w:type="default"/>
      <w:pgSz w:w="11907" w:h="16839"/>
      <w:pgMar w:top="1656" w:right="1130" w:bottom="1168" w:left="1785" w:header="1445"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8987"/>
      <w:rPr>
        <w:rFonts w:ascii="宋体" w:hAnsi="宋体" w:eastAsia="宋体" w:cs="宋体"/>
        <w:sz w:val="18"/>
        <w:szCs w:val="18"/>
      </w:rPr>
    </w:pPr>
    <w:r>
      <w:rPr>
        <w:rFonts w:ascii="宋体" w:hAnsi="宋体" w:eastAsia="宋体" w:cs="宋体"/>
        <w:spacing w:val="-4"/>
        <w:sz w:val="18"/>
        <w:szCs w:val="18"/>
      </w:rPr>
      <w:t>II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8895"/>
      <w:rPr>
        <w:rFonts w:ascii="宋体" w:hAnsi="宋体" w:eastAsia="宋体" w:cs="宋体"/>
        <w:sz w:val="18"/>
        <w:szCs w:val="18"/>
      </w:rPr>
    </w:pPr>
    <w:r>
      <w:rPr>
        <w:rFonts w:ascii="宋体" w:hAnsi="宋体" w:eastAsia="宋体" w:cs="宋体"/>
        <w:spacing w:val="-4"/>
        <w:sz w:val="18"/>
        <w:szCs w:val="18"/>
      </w:rPr>
      <w:t>III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0" w:lineRule="auto"/>
      <w:ind w:left="9066"/>
      <w:rPr>
        <w:rFonts w:ascii="宋体" w:hAnsi="宋体" w:eastAsia="宋体" w:cs="宋体"/>
        <w:sz w:val="18"/>
        <w:szCs w:val="18"/>
      </w:rPr>
    </w:pPr>
    <w:r>
      <w:rPr>
        <w:rFonts w:ascii="宋体" w:hAnsi="宋体" w:eastAsia="宋体" w:cs="宋体"/>
        <w:sz w:val="18"/>
        <w:szCs w:val="18"/>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9073"/>
      <w:rPr>
        <w:rFonts w:ascii="宋体" w:hAnsi="宋体" w:eastAsia="宋体" w:cs="宋体"/>
        <w:sz w:val="18"/>
        <w:szCs w:val="18"/>
      </w:rPr>
    </w:pPr>
    <w:r>
      <w:rPr>
        <w:rFonts w:ascii="宋体" w:hAnsi="宋体" w:eastAsia="宋体" w:cs="宋体"/>
        <w:sz w:val="18"/>
        <w:szCs w:val="18"/>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0" w:lineRule="auto"/>
      <w:ind w:left="9071"/>
      <w:rPr>
        <w:rFonts w:ascii="宋体" w:hAnsi="宋体" w:eastAsia="宋体" w:cs="宋体"/>
        <w:sz w:val="18"/>
        <w:szCs w:val="18"/>
      </w:rPr>
    </w:pPr>
    <w:r>
      <w:rPr>
        <w:rFonts w:ascii="宋体" w:hAnsi="宋体" w:eastAsia="宋体" w:cs="宋体"/>
        <w:sz w:val="18"/>
        <w:szCs w:val="18"/>
      </w:rP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9075"/>
      <w:rPr>
        <w:rFonts w:ascii="宋体" w:hAnsi="宋体" w:eastAsia="宋体" w:cs="宋体"/>
        <w:sz w:val="18"/>
        <w:szCs w:val="18"/>
      </w:rPr>
    </w:pPr>
    <w:r>
      <w:rPr>
        <w:rFonts w:ascii="宋体" w:hAnsi="宋体" w:eastAsia="宋体" w:cs="宋体"/>
        <w:sz w:val="18"/>
        <w:szCs w:val="18"/>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0" w:lineRule="auto"/>
      <w:ind w:left="8706"/>
      <w:rPr>
        <w:rFonts w:ascii="宋体" w:hAnsi="宋体" w:eastAsia="宋体" w:cs="宋体"/>
        <w:sz w:val="18"/>
        <w:szCs w:val="18"/>
      </w:rPr>
    </w:pPr>
    <w:r>
      <w:rPr>
        <w:rFonts w:ascii="宋体" w:hAnsi="宋体" w:eastAsia="宋体" w:cs="宋体"/>
        <w:sz w:val="18"/>
        <w:szCs w:val="18"/>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6" w:lineRule="auto"/>
      <w:ind w:left="7362"/>
      <w:rPr>
        <w:sz w:val="21"/>
        <w:szCs w:val="21"/>
      </w:rPr>
    </w:pPr>
    <w:r>
      <w:rPr>
        <w:spacing w:val="-1"/>
        <w:sz w:val="21"/>
        <w:szCs w:val="21"/>
      </w:rPr>
      <w:t>T/ CACM×××</w:t>
    </w:r>
    <w:r>
      <w:rPr>
        <w:rFonts w:ascii="Times New Roman" w:hAnsi="Times New Roman" w:eastAsia="Times New Roman" w:cs="Times New Roman"/>
        <w:spacing w:val="-1"/>
        <w:sz w:val="21"/>
        <w:szCs w:val="21"/>
      </w:rPr>
      <w:t>—</w:t>
    </w:r>
    <w:r>
      <w:rPr>
        <w:spacing w:val="-1"/>
        <w:sz w:val="21"/>
        <w:szCs w:val="21"/>
      </w:rPr>
      <w:t>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6" w:lineRule="auto"/>
      <w:ind w:left="7360"/>
      <w:rPr>
        <w:sz w:val="21"/>
        <w:szCs w:val="21"/>
      </w:rPr>
    </w:pPr>
    <w:r>
      <w:rPr>
        <w:spacing w:val="-1"/>
        <w:sz w:val="21"/>
        <w:szCs w:val="21"/>
      </w:rPr>
      <w:t>T/ CACM×××</w:t>
    </w:r>
    <w:r>
      <w:rPr>
        <w:rFonts w:ascii="Times New Roman" w:hAnsi="Times New Roman" w:eastAsia="Times New Roman" w:cs="Times New Roman"/>
        <w:spacing w:val="-1"/>
        <w:sz w:val="21"/>
        <w:szCs w:val="21"/>
      </w:rPr>
      <w:t>—</w:t>
    </w:r>
    <w:r>
      <w:rPr>
        <w:spacing w:val="-1"/>
        <w:sz w:val="21"/>
        <w:szCs w:val="21"/>
      </w:rPr>
      <w:t>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6" w:lineRule="auto"/>
      <w:ind w:left="7362"/>
      <w:rPr>
        <w:sz w:val="21"/>
        <w:szCs w:val="21"/>
      </w:rPr>
    </w:pPr>
    <w:r>
      <w:rPr>
        <w:spacing w:val="-4"/>
        <w:sz w:val="21"/>
        <w:szCs w:val="21"/>
      </w:rPr>
      <w:t>T/CEMA</w:t>
    </w:r>
    <w:r>
      <w:rPr>
        <w:spacing w:val="48"/>
        <w:sz w:val="21"/>
        <w:szCs w:val="21"/>
      </w:rPr>
      <w:t xml:space="preserve"> </w:t>
    </w:r>
    <w:r>
      <w:rPr>
        <w:spacing w:val="-4"/>
        <w:sz w:val="21"/>
        <w:szCs w:val="21"/>
      </w:rPr>
      <w:t>×××—2024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6" w:lineRule="auto"/>
      <w:ind w:right="1"/>
      <w:jc w:val="right"/>
      <w:rPr>
        <w:sz w:val="21"/>
        <w:szCs w:val="21"/>
      </w:rPr>
    </w:pPr>
    <w:r>
      <w:rPr>
        <w:spacing w:val="-4"/>
        <w:sz w:val="21"/>
        <w:szCs w:val="21"/>
      </w:rPr>
      <w:t>T/CEMA</w:t>
    </w:r>
    <w:r>
      <w:rPr>
        <w:spacing w:val="48"/>
        <w:sz w:val="21"/>
        <w:szCs w:val="21"/>
      </w:rPr>
      <w:t xml:space="preserve"> </w:t>
    </w:r>
    <w:r>
      <w:rPr>
        <w:spacing w:val="-4"/>
        <w:sz w:val="21"/>
        <w:szCs w:val="21"/>
      </w:rPr>
      <w:t>×××—2024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6" w:lineRule="auto"/>
      <w:ind w:right="2"/>
      <w:jc w:val="right"/>
      <w:rPr>
        <w:sz w:val="21"/>
        <w:szCs w:val="21"/>
      </w:rPr>
    </w:pPr>
    <w:r>
      <w:rPr>
        <w:spacing w:val="-4"/>
        <w:sz w:val="21"/>
        <w:szCs w:val="21"/>
      </w:rPr>
      <w:t>T/CEMA</w:t>
    </w:r>
    <w:r>
      <w:rPr>
        <w:spacing w:val="48"/>
        <w:sz w:val="21"/>
        <w:szCs w:val="21"/>
      </w:rPr>
      <w:t xml:space="preserve"> </w:t>
    </w:r>
    <w:r>
      <w:rPr>
        <w:spacing w:val="-4"/>
        <w:sz w:val="21"/>
        <w:szCs w:val="21"/>
      </w:rPr>
      <w:t>×××—2024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6" w:lineRule="auto"/>
      <w:ind w:right="1"/>
      <w:jc w:val="right"/>
      <w:rPr>
        <w:sz w:val="21"/>
        <w:szCs w:val="21"/>
      </w:rPr>
    </w:pPr>
    <w:r>
      <w:rPr>
        <w:spacing w:val="-4"/>
        <w:sz w:val="21"/>
        <w:szCs w:val="21"/>
      </w:rPr>
      <w:t>T/CEMA</w:t>
    </w:r>
    <w:r>
      <w:rPr>
        <w:spacing w:val="48"/>
        <w:sz w:val="21"/>
        <w:szCs w:val="21"/>
      </w:rPr>
      <w:t xml:space="preserve"> </w:t>
    </w:r>
    <w:r>
      <w:rPr>
        <w:spacing w:val="-4"/>
        <w:sz w:val="21"/>
        <w:szCs w:val="21"/>
      </w:rPr>
      <w:t>×××—2024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6" w:lineRule="auto"/>
      <w:jc w:val="right"/>
      <w:rPr>
        <w:sz w:val="21"/>
        <w:szCs w:val="21"/>
      </w:rPr>
    </w:pPr>
    <w:r>
      <w:rPr>
        <w:spacing w:val="-4"/>
        <w:sz w:val="21"/>
        <w:szCs w:val="21"/>
      </w:rPr>
      <w:t>T/CEMA</w:t>
    </w:r>
    <w:r>
      <w:rPr>
        <w:spacing w:val="47"/>
        <w:sz w:val="21"/>
        <w:szCs w:val="21"/>
      </w:rPr>
      <w:t xml:space="preserve"> </w:t>
    </w:r>
    <w:r>
      <w:rPr>
        <w:spacing w:val="-4"/>
        <w:sz w:val="21"/>
        <w:szCs w:val="21"/>
      </w:rPr>
      <w:t>×××—2024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TM5YzgxZDFmMDc4Y2E5NDQ5NWZlMDliYzNjZWE0NmMifQ=="/>
  </w:docVars>
  <w:rsids>
    <w:rsidRoot w:val="00000000"/>
    <w:rsid w:val="034D2B09"/>
    <w:rsid w:val="34BB55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autoRedefine/>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8"/>
      <w:szCs w:val="28"/>
      <w:lang w:val="en-US" w:eastAsia="en-US" w:bidi="ar-SA"/>
    </w:rPr>
  </w:style>
  <w:style w:type="paragraph" w:styleId="3">
    <w:name w:val="toc 1"/>
    <w:basedOn w:val="1"/>
    <w:next w:val="1"/>
    <w:uiPriority w:val="0"/>
  </w:style>
  <w:style w:type="table" w:customStyle="1" w:styleId="6">
    <w:name w:val="Table Normal"/>
    <w:autoRedefine/>
    <w:semiHidden/>
    <w:unhideWhenUsed/>
    <w:qFormat/>
    <w:uiPriority w:val="0"/>
    <w:tblPr>
      <w:tblCellMar>
        <w:top w:w="0" w:type="dxa"/>
        <w:left w:w="0" w:type="dxa"/>
        <w:bottom w:w="0" w:type="dxa"/>
        <w:right w:w="0" w:type="dxa"/>
      </w:tblCellMar>
    </w:tblPr>
  </w:style>
  <w:style w:type="paragraph" w:customStyle="1" w:styleId="7">
    <w:name w:val="WPSOffice手动目录 1"/>
    <w:uiPriority w:val="0"/>
    <w:pPr>
      <w:ind w:leftChars="0"/>
    </w:pPr>
    <w:rPr>
      <w:sz w:val="20"/>
      <w:szCs w:val="20"/>
    </w:rPr>
  </w:style>
  <w:style w:type="paragraph" w:customStyle="1" w:styleId="8">
    <w:name w:val="WPSOffice手动目录 2"/>
    <w:uiPriority w:val="0"/>
    <w:pPr>
      <w:ind w:leftChars="200"/>
    </w:pPr>
    <w:rPr>
      <w:sz w:val="20"/>
      <w:szCs w:val="20"/>
    </w:rPr>
  </w:style>
  <w:style w:type="paragraph" w:customStyle="1" w:styleId="9">
    <w:name w:val="WPSOffice手动目录 3"/>
    <w:uiPriority w:val="0"/>
    <w:pPr>
      <w:ind w:leftChars="4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TotalTime>2</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2024-04-29T09:55:00Z</dcterms:created>
  <dc:creator>13434</dc:creator>
  <cp:lastModifiedBy>bylxb</cp:lastModifiedBy>
  <dcterms:modified xsi:type="dcterms:W3CDTF">2024-04-29T02:01:40Z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2024-04-29T09:55:39Z</vt:filetime>
  </property>
  <property fmtid="{D5CDD505-2E9C-101B-9397-08002B2CF9AE}" pid="4" name="KSOProductBuildVer">
    <vt:lpwstr>2052-12.1.0.16729</vt:lpwstr>
  </property>
  <property fmtid="{D5CDD505-2E9C-101B-9397-08002B2CF9AE}" pid="5" name="ICV">
    <vt:lpwstr>5386F7631BF44853A18BF4FED462B9E0_12</vt:lpwstr>
  </property>
</Properties>
</file>