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中国民族医药协会团体标准《密集型银质针疗法治疗退变性腰椎管狭窄症技术操作规范》编制说明</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（征求意见稿）</w:t>
      </w:r>
    </w:p>
    <w:p>
      <w:pPr>
        <w:spacing w:before="156" w:beforeLines="50" w:after="156" w:afterLines="50" w:line="560" w:lineRule="exact"/>
        <w:jc w:val="left"/>
        <w:rPr>
          <w:rFonts w:ascii="黑体" w:hAnsi="黑体" w:eastAsia="黑体"/>
          <w:sz w:val="28"/>
          <w:szCs w:val="28"/>
        </w:rPr>
      </w:pPr>
      <w:r>
        <w:rPr>
          <w:rFonts w:hint="eastAsia" w:ascii="黑体" w:hAnsi="黑体" w:eastAsia="黑体"/>
          <w:sz w:val="28"/>
          <w:szCs w:val="28"/>
        </w:rPr>
        <w:t>一、任务来源</w:t>
      </w:r>
    </w:p>
    <w:p>
      <w:pPr>
        <w:pStyle w:val="6"/>
        <w:spacing w:line="560" w:lineRule="exact"/>
        <w:ind w:left="0" w:leftChars="0" w:firstLine="560"/>
        <w:jc w:val="left"/>
        <w:rPr>
          <w:rFonts w:ascii="仿宋_GB2312" w:eastAsia="仿宋_GB2312" w:hAnsiTheme="minorEastAsia" w:cstheme="minorBidi"/>
          <w:sz w:val="28"/>
          <w:szCs w:val="28"/>
        </w:rPr>
      </w:pPr>
      <w:r>
        <w:rPr>
          <w:rFonts w:hint="eastAsia" w:ascii="仿宋_GB2312" w:eastAsia="仿宋_GB2312" w:hAnsiTheme="minorEastAsia" w:cstheme="minorBidi"/>
          <w:sz w:val="28"/>
          <w:szCs w:val="28"/>
        </w:rPr>
        <w:t>标准化是银质针事业发展的一项基础性、战略性、全局性工作，是银质针事业发展的技术支撑，是推进银质针行业治理体系和治理能力现代化的基础性制度。银质针领域标准是指银质针领域需要统一的技术要求，标准是科技成果的最高表现形式，可对医院骨科及康复医学科等临床学科形成强有力的科技支撑，具有权威性、先进性、客观性和效率性。</w:t>
      </w:r>
    </w:p>
    <w:p>
      <w:pPr>
        <w:spacing w:line="560" w:lineRule="exact"/>
        <w:ind w:firstLine="560" w:firstLineChars="200"/>
        <w:rPr>
          <w:rFonts w:ascii="仿宋_GB2312" w:eastAsia="仿宋_GB2312" w:hAnsiTheme="minorEastAsia"/>
          <w:sz w:val="28"/>
          <w:szCs w:val="28"/>
        </w:rPr>
      </w:pPr>
      <w:r>
        <w:rPr>
          <w:rFonts w:ascii="仿宋_GB2312" w:eastAsia="仿宋_GB2312" w:hAnsiTheme="minorEastAsia"/>
          <w:sz w:val="28"/>
          <w:szCs w:val="28"/>
        </w:rPr>
        <w:t>银质针疗法</w:t>
      </w:r>
      <w:r>
        <w:rPr>
          <w:rFonts w:hint="eastAsia" w:ascii="仿宋_GB2312" w:eastAsia="仿宋_GB2312" w:hAnsiTheme="minorEastAsia"/>
          <w:sz w:val="28"/>
          <w:szCs w:val="28"/>
        </w:rPr>
        <w:t>已在我国大部分医院开展应用，团队成员牵头制定了广西省地方标准《</w:t>
      </w:r>
      <w:r>
        <w:rPr>
          <w:rFonts w:ascii="仿宋_GB2312" w:eastAsia="仿宋_GB2312" w:hAnsiTheme="minorEastAsia"/>
          <w:sz w:val="28"/>
          <w:szCs w:val="28"/>
        </w:rPr>
        <w:t>银质针治疗技术操作规范</w:t>
      </w:r>
      <w:r>
        <w:rPr>
          <w:rFonts w:hint="eastAsia" w:ascii="仿宋_GB2312" w:eastAsia="仿宋_GB2312" w:hAnsiTheme="minorEastAsia"/>
          <w:sz w:val="28"/>
          <w:szCs w:val="28"/>
        </w:rPr>
        <w:t>》（</w:t>
      </w:r>
      <w:r>
        <w:rPr>
          <w:rFonts w:ascii="仿宋_GB2312" w:eastAsia="仿宋_GB2312" w:hAnsiTheme="minorEastAsia"/>
          <w:sz w:val="28"/>
          <w:szCs w:val="28"/>
        </w:rPr>
        <w:t>DB45T2137</w:t>
      </w:r>
      <w:r>
        <w:rPr>
          <w:rFonts w:hint="eastAsia" w:ascii="仿宋_GB2312" w:eastAsia="仿宋_GB2312" w:hAnsiTheme="minorEastAsia"/>
          <w:sz w:val="28"/>
          <w:szCs w:val="28"/>
        </w:rPr>
        <w:t>），在此基础上制定《密集型银质针疗法治疗退变性腰椎管狭窄症技术操作规范》，将更好地发挥</w:t>
      </w:r>
      <w:r>
        <w:rPr>
          <w:rFonts w:ascii="仿宋_GB2312" w:eastAsia="仿宋_GB2312" w:hAnsiTheme="minorEastAsia"/>
          <w:sz w:val="28"/>
          <w:szCs w:val="28"/>
        </w:rPr>
        <w:t>银质针疗法</w:t>
      </w:r>
      <w:r>
        <w:rPr>
          <w:rFonts w:hint="eastAsia" w:ascii="仿宋_GB2312" w:eastAsia="仿宋_GB2312" w:hAnsiTheme="minorEastAsia"/>
          <w:sz w:val="28"/>
          <w:szCs w:val="28"/>
        </w:rPr>
        <w:t>在各级各类医院的规范的开展应用。</w:t>
      </w:r>
    </w:p>
    <w:p>
      <w:pPr>
        <w:pStyle w:val="6"/>
        <w:spacing w:line="560" w:lineRule="exact"/>
        <w:ind w:left="0" w:leftChars="0" w:firstLine="560"/>
        <w:jc w:val="left"/>
        <w:rPr>
          <w:rFonts w:ascii="黑体" w:hAnsi="黑体" w:eastAsia="黑体"/>
          <w:sz w:val="28"/>
          <w:szCs w:val="28"/>
        </w:rPr>
      </w:pPr>
      <w:r>
        <w:rPr>
          <w:rFonts w:hint="eastAsia" w:ascii="仿宋_GB2312" w:eastAsia="仿宋_GB2312" w:hAnsiTheme="minorEastAsia" w:cstheme="minorBidi"/>
          <w:sz w:val="28"/>
          <w:szCs w:val="28"/>
        </w:rPr>
        <w:t>以银质针标准化引领银质针领域学术发展，以银质针学术发展推进银质针标准化，推动银质针学术继承创新，促进银质针学术进步，有利于保持和发扬银质针特色优势，有利于规范行业管理和政府管理工作，有利于促进银质针技术国际传播与发展。</w:t>
      </w:r>
    </w:p>
    <w:p>
      <w:pPr>
        <w:pStyle w:val="11"/>
        <w:numPr>
          <w:ilvl w:val="0"/>
          <w:numId w:val="1"/>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制定标准的必要性与意义</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银质针针刺疗法是针刺疗法的一种，因为所材</w:t>
      </w:r>
      <w:r>
        <w:rPr>
          <w:rFonts w:ascii="仿宋_GB2312" w:eastAsia="仿宋_GB2312" w:hAnsiTheme="minorEastAsia"/>
          <w:sz w:val="28"/>
          <w:szCs w:val="28"/>
        </w:rPr>
        <w:t xml:space="preserve"> 是“银”（８０％ 的白银，２０％ 红铜、锌、镍），具有较好的导热性能，成分等同于银元而命名为银质针。银质针治疗机理主要是通过消除炎症反应，增加局部血供，缓解肌肉痉挛 ． 从而达到解除疼痛的目的。银质针疗法是宣蜇人教授等人在针灸疗法的基础上进行总结创新而成，对由椎管外软组织损害引起的局部疼痛、放射痛或并发椎－基底动脉供血紊乱、自主神经功能紊乱、循环系统功能紊乱、消化系统功能紊乱等相关疾病具有良好疗效。因其具有操作方便、疗程短、副作用小、疗效显著等优势逐渐被广泛应用</w:t>
      </w:r>
      <w:r>
        <w:rPr>
          <w:rFonts w:hint="eastAsia" w:ascii="仿宋_GB2312" w:eastAsia="仿宋_GB2312" w:hAnsiTheme="minorEastAsia"/>
          <w:sz w:val="28"/>
          <w:szCs w:val="28"/>
        </w:rPr>
        <w:t>于临床。</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按照国家中医药管理局办公室、国家卫生健康委办公厅联合印发《关于规范医疗机构中医医疗技术命名 加强中医医疗技术临床应用管理的通知》及《医疗技术临床应用管理办法》及其他法律法规和规章制度的要求，结合临床实际，参照规则GB/T1.1—2020《标准化工作导则 第1部分:标准化文件的结构和起草》规则制定本文件。通过运用《密集型银质针疗法治疗退变性腰椎管狭窄症技术操作规范》，充分发挥银质针特色与优势，积极探索运用主导的银质针疗法，形成银质针主导的诊疗方案并向其他临床科室推广，达到全面提升银质针临床服务水平及目标。</w:t>
      </w:r>
    </w:p>
    <w:p>
      <w:pPr>
        <w:spacing w:line="560" w:lineRule="exact"/>
        <w:ind w:firstLine="560" w:firstLineChars="200"/>
        <w:rPr>
          <w:rFonts w:ascii="仿宋_GB2312" w:eastAsia="仿宋_GB2312" w:hAnsiTheme="minorEastAsia"/>
          <w:sz w:val="28"/>
          <w:szCs w:val="28"/>
        </w:rPr>
      </w:pPr>
      <w:r>
        <w:rPr>
          <w:rFonts w:ascii="仿宋_GB2312" w:eastAsia="仿宋_GB2312" w:hAnsiTheme="minorEastAsia"/>
          <w:sz w:val="28"/>
          <w:szCs w:val="28"/>
        </w:rPr>
        <w:t>银质针疗法</w:t>
      </w:r>
      <w:r>
        <w:rPr>
          <w:rFonts w:hint="eastAsia" w:ascii="仿宋_GB2312" w:eastAsia="仿宋_GB2312" w:hAnsiTheme="minorEastAsia"/>
          <w:sz w:val="28"/>
          <w:szCs w:val="28"/>
        </w:rPr>
        <w:t>已在我国大部分医院开展应用，团队成员牵头制定了广西省地方标准《</w:t>
      </w:r>
      <w:r>
        <w:rPr>
          <w:rFonts w:ascii="仿宋_GB2312" w:eastAsia="仿宋_GB2312" w:hAnsiTheme="minorEastAsia"/>
          <w:sz w:val="28"/>
          <w:szCs w:val="28"/>
        </w:rPr>
        <w:t>银质针治疗技术操作规范</w:t>
      </w:r>
      <w:r>
        <w:rPr>
          <w:rFonts w:hint="eastAsia" w:ascii="仿宋_GB2312" w:eastAsia="仿宋_GB2312" w:hAnsiTheme="minorEastAsia"/>
          <w:sz w:val="28"/>
          <w:szCs w:val="28"/>
        </w:rPr>
        <w:t>》（</w:t>
      </w:r>
      <w:r>
        <w:rPr>
          <w:rFonts w:ascii="仿宋_GB2312" w:eastAsia="仿宋_GB2312" w:hAnsiTheme="minorEastAsia"/>
          <w:sz w:val="28"/>
          <w:szCs w:val="28"/>
        </w:rPr>
        <w:t>DB45T2137</w:t>
      </w:r>
      <w:r>
        <w:rPr>
          <w:rFonts w:hint="eastAsia" w:ascii="仿宋_GB2312" w:eastAsia="仿宋_GB2312" w:hAnsiTheme="minorEastAsia"/>
          <w:sz w:val="28"/>
          <w:szCs w:val="28"/>
        </w:rPr>
        <w:t>），在此基础上制定《密集型银质针疗法治疗退变性腰椎管狭窄症技术操作规范》，将更好地发挥</w:t>
      </w:r>
      <w:r>
        <w:rPr>
          <w:rFonts w:ascii="仿宋_GB2312" w:eastAsia="仿宋_GB2312" w:hAnsiTheme="minorEastAsia"/>
          <w:sz w:val="28"/>
          <w:szCs w:val="28"/>
        </w:rPr>
        <w:t>银质针疗法</w:t>
      </w:r>
      <w:r>
        <w:rPr>
          <w:rFonts w:hint="eastAsia" w:ascii="仿宋_GB2312" w:eastAsia="仿宋_GB2312" w:hAnsiTheme="minorEastAsia"/>
          <w:sz w:val="28"/>
          <w:szCs w:val="28"/>
        </w:rPr>
        <w:t>在各级各类医院的规范的开展应用。</w:t>
      </w:r>
    </w:p>
    <w:p>
      <w:pPr>
        <w:spacing w:before="156" w:beforeLines="50" w:after="156" w:afterLines="50" w:line="560" w:lineRule="exact"/>
        <w:jc w:val="left"/>
        <w:rPr>
          <w:rFonts w:ascii="黑体" w:hAnsi="黑体" w:eastAsia="黑体"/>
          <w:sz w:val="28"/>
          <w:szCs w:val="28"/>
        </w:rPr>
      </w:pPr>
      <w:r>
        <w:rPr>
          <w:rFonts w:hint="eastAsia" w:ascii="黑体" w:hAnsi="黑体" w:eastAsia="黑体"/>
          <w:sz w:val="28"/>
          <w:szCs w:val="28"/>
        </w:rPr>
        <w:t>三</w:t>
      </w:r>
      <w:r>
        <w:rPr>
          <w:rFonts w:hint="eastAsia" w:ascii="仿宋_GB2312" w:eastAsia="仿宋_GB2312" w:hAnsiTheme="minorEastAsia"/>
          <w:sz w:val="28"/>
          <w:szCs w:val="28"/>
        </w:rPr>
        <w:t>、</w:t>
      </w:r>
      <w:r>
        <w:rPr>
          <w:rFonts w:hint="eastAsia" w:ascii="黑体" w:hAnsi="黑体" w:eastAsia="黑体"/>
          <w:sz w:val="28"/>
          <w:szCs w:val="28"/>
        </w:rPr>
        <w:t>主要工作过程</w:t>
      </w:r>
    </w:p>
    <w:p>
      <w:pPr>
        <w:pStyle w:val="11"/>
        <w:numPr>
          <w:ilvl w:val="0"/>
          <w:numId w:val="2"/>
        </w:numPr>
        <w:spacing w:after="156" w:afterLines="50" w:line="560" w:lineRule="exact"/>
        <w:ind w:left="420" w:leftChars="200" w:firstLine="0" w:firstLineChars="0"/>
        <w:rPr>
          <w:rFonts w:ascii="楷体_GB2312" w:hAnsi="黑体" w:eastAsia="楷体_GB2312"/>
          <w:sz w:val="28"/>
          <w:szCs w:val="28"/>
        </w:rPr>
      </w:pPr>
      <w:r>
        <w:rPr>
          <w:rFonts w:hint="eastAsia" w:ascii="楷体_GB2312" w:hAnsi="黑体" w:eastAsia="楷体_GB2312"/>
          <w:sz w:val="28"/>
          <w:szCs w:val="28"/>
        </w:rPr>
        <w:t>前期标准预研</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2023年10月，黔东南州苗族侗族自治州中医医院、贵州云中医院、南宁市妇幼保健院、首钢水钢医院、北京积水潭医院贵州医院、务川县仡佬族苗族自治县中医医院、石阡县中医医院、榕江县中医院、黎平县中医医院、天柱县中医院、黔西市中医医院及毕节市七星关区中医妇幼集团医院成立标准编制工作组，确定了主要起草人及小组成员工作职责，并确定了标准编制计划，正式开展前期资料收集与研究工作，通过对文献及相关标准检索查新，梳理国内外银质针门诊的建设情况，探讨标准立项和基本结构要点，为标准研制打下了良好的基础。</w:t>
      </w:r>
    </w:p>
    <w:p>
      <w:pPr>
        <w:pStyle w:val="11"/>
        <w:numPr>
          <w:ilvl w:val="0"/>
          <w:numId w:val="2"/>
        </w:numPr>
        <w:spacing w:after="156" w:afterLines="50" w:line="560" w:lineRule="exact"/>
        <w:ind w:left="420" w:leftChars="200" w:firstLine="0" w:firstLineChars="0"/>
        <w:rPr>
          <w:rFonts w:ascii="楷体_GB2312" w:hAnsi="黑体" w:eastAsia="楷体_GB2312"/>
          <w:sz w:val="28"/>
          <w:szCs w:val="28"/>
        </w:rPr>
      </w:pPr>
      <w:r>
        <w:rPr>
          <w:rFonts w:hint="eastAsia" w:ascii="楷体_GB2312" w:hAnsi="黑体" w:eastAsia="楷体_GB2312"/>
          <w:sz w:val="28"/>
          <w:szCs w:val="28"/>
        </w:rPr>
        <w:t>标准立项</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2023年12月，标准编制工作组从银质针门诊出发，多次进行讨论，确定了标准的适用范围、框架及关键点要求，并按要求填写了团体标准制修订立项申请书，编制了《密集型银质针疗法治疗退变性腰椎管狭窄症技术操作规范》团体标准初稿及可行性分析报告，并向中国民族医药协会提交立项申请。</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经中国民族医药协会团标委审查及相关专家评审后，</w:t>
      </w:r>
      <w:r>
        <w:rPr>
          <w:rFonts w:hint="eastAsia" w:ascii="仿宋_GB2312" w:eastAsia="仿宋_GB2312" w:hAnsiTheme="minorEastAsia"/>
          <w:sz w:val="28"/>
          <w:szCs w:val="28"/>
          <w:lang w:val="en-US" w:eastAsia="zh-CN"/>
        </w:rPr>
        <w:t>于</w:t>
      </w:r>
      <w:r>
        <w:rPr>
          <w:rFonts w:hint="eastAsia" w:ascii="仿宋_GB2312" w:eastAsia="仿宋_GB2312" w:hAnsiTheme="minorEastAsia"/>
          <w:sz w:val="28"/>
          <w:szCs w:val="28"/>
        </w:rPr>
        <w:t>2024年1月31日正式立项成功。</w:t>
      </w:r>
    </w:p>
    <w:p>
      <w:pPr>
        <w:pStyle w:val="11"/>
        <w:numPr>
          <w:ilvl w:val="0"/>
          <w:numId w:val="2"/>
        </w:numPr>
        <w:spacing w:after="156" w:afterLines="50" w:line="560" w:lineRule="exact"/>
        <w:ind w:left="420" w:leftChars="200" w:firstLine="0" w:firstLineChars="0"/>
        <w:rPr>
          <w:rFonts w:ascii="楷体_GB2312" w:hAnsi="黑体" w:eastAsia="楷体_GB2312"/>
          <w:sz w:val="28"/>
          <w:szCs w:val="28"/>
        </w:rPr>
      </w:pPr>
      <w:r>
        <w:rPr>
          <w:rFonts w:hint="eastAsia" w:ascii="楷体_GB2312" w:hAnsi="黑体" w:eastAsia="楷体_GB2312"/>
          <w:sz w:val="28"/>
          <w:szCs w:val="28"/>
        </w:rPr>
        <w:t>标准起草过程</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2024年4月，收到标准成功立项公告后，标准编制工作组第一时间将团标委专家的立项评审意见进行汇总，并与相关专家及研发技术人员通过线上沟通，线下讨论等形式对团标委的意见进行分析采纳，并对标准草案进一步完善。</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标准编制工作组在贵州中医药大学第一附属医院召开了</w:t>
      </w:r>
      <w:r>
        <w:rPr>
          <w:rFonts w:ascii="仿宋_GB2312" w:eastAsia="仿宋_GB2312" w:hAnsiTheme="minorEastAsia"/>
          <w:sz w:val="28"/>
          <w:szCs w:val="28"/>
        </w:rPr>
        <w:t>202</w:t>
      </w:r>
      <w:r>
        <w:rPr>
          <w:rFonts w:hint="eastAsia" w:ascii="仿宋_GB2312" w:eastAsia="仿宋_GB2312" w:hAnsiTheme="minorEastAsia"/>
          <w:sz w:val="28"/>
          <w:szCs w:val="28"/>
        </w:rPr>
        <w:t>4年度中国民族医药协会团体标准《密集型银质针疗法治疗退变性腰椎管狭窄症技术操作规范》专家起草论证会，</w:t>
      </w:r>
      <w:bookmarkStart w:id="0" w:name="_Hlk164642620"/>
      <w:r>
        <w:rPr>
          <w:rFonts w:hint="eastAsia" w:ascii="仿宋_GB2312" w:eastAsia="仿宋_GB2312" w:hAnsiTheme="minorEastAsia"/>
          <w:sz w:val="28"/>
          <w:szCs w:val="28"/>
        </w:rPr>
        <w:t>贵州省中西医结合学会银质针专业委员会创会主任委员、贵州省中医名医传承工作指导老师、主任医师、教授、硕士研究生导师祝乾清；广西省中医药学会银质针专业委员会创会主任委员、广西名中医、主任医师、教授、硕士研究生导师安平；贵州省中西医结合学会银质针专业委员会主任委员蒋泰媛主任医师；中国中医药信息学会全科医学分会副会长兼秘书长，世界中联国际中医药临床标准工作委员会常务理事、国家标准化管理委员会全国中医标准化技术委员会(SAC/TC478)观察员及全国保健服务标准化技术委员会(SAC/TC 483)观察员、中华中医药学会团体标准观察员曾曼杰同志；贵州省中西医结合学会银质针专业委员会副主任委员、贵州航天医院骨科主任赵学平；贵州省中西医结合学会银质针专业委员会副主任委员、六盘水市名中医、首钢水钢医院康复科李飞舟主任；北京积水潭医院贵州医院骨内科主任罗永贵；贵州省中西医结合学会银质针专业委员会副主任委员、贵州中医药大学第一附属医院、硕士研究生导师杨华等</w:t>
      </w:r>
      <w:bookmarkEnd w:id="0"/>
      <w:r>
        <w:rPr>
          <w:rFonts w:hint="eastAsia" w:ascii="仿宋_GB2312" w:eastAsia="仿宋_GB2312" w:hAnsiTheme="minorEastAsia"/>
          <w:sz w:val="28"/>
          <w:szCs w:val="28"/>
        </w:rPr>
        <w:t>参加起草论证。后期项目多次开展论证，根据相关法律法规及标准的要求对《密集型银质针疗法治疗退变性腰椎管狭窄症技术操作规范》团体标准的具体指标内容进行了讨论，形成了《密集型银质针疗法治疗退变性腰椎管狭窄症技术操作规范》团体标准和编制说明的征求意见稿。</w:t>
      </w:r>
    </w:p>
    <w:p>
      <w:pPr>
        <w:pStyle w:val="11"/>
        <w:numPr>
          <w:ilvl w:val="0"/>
          <w:numId w:val="3"/>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主要参编单位及人员</w:t>
      </w:r>
    </w:p>
    <w:p>
      <w:pPr>
        <w:pStyle w:val="11"/>
        <w:numPr>
          <w:ilvl w:val="0"/>
          <w:numId w:val="4"/>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主要参编单位</w:t>
      </w:r>
    </w:p>
    <w:p>
      <w:pPr>
        <w:pStyle w:val="11"/>
        <w:spacing w:line="560" w:lineRule="exact"/>
        <w:ind w:firstLine="0" w:firstLineChars="0"/>
        <w:jc w:val="left"/>
        <w:rPr>
          <w:rFonts w:ascii="仿宋_GB2312" w:eastAsia="仿宋_GB2312" w:hAnsiTheme="minorEastAsia"/>
          <w:sz w:val="28"/>
          <w:szCs w:val="28"/>
        </w:rPr>
      </w:pPr>
      <w:r>
        <w:rPr>
          <w:rFonts w:hint="eastAsia" w:ascii="仿宋_GB2312" w:eastAsia="仿宋_GB2312" w:hAnsiTheme="minorEastAsia"/>
          <w:sz w:val="28"/>
          <w:szCs w:val="28"/>
        </w:rPr>
        <w:t xml:space="preserve">    黔东南州苗族侗族自治州中医医院、贵州云中医院、南宁市妇幼保健院、首钢水钢医院、北京积水潭医院贵州医院、务川县仡佬族苗族自治县中医医院、石阡县中医医院、榕江县中医院、黎平县中医医院、天柱县中医院、黔西市中医医院及毕节市七星关区中医妇幼集团医院。</w:t>
      </w:r>
    </w:p>
    <w:p>
      <w:pPr>
        <w:pStyle w:val="11"/>
        <w:numPr>
          <w:ilvl w:val="0"/>
          <w:numId w:val="4"/>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编制组成员及职责</w:t>
      </w:r>
    </w:p>
    <w:p>
      <w:pPr>
        <w:spacing w:line="560" w:lineRule="exact"/>
        <w:jc w:val="left"/>
        <w:rPr>
          <w:rFonts w:ascii="仿宋_GB2312" w:eastAsia="仿宋_GB2312" w:hAnsiTheme="minorEastAsia"/>
          <w:sz w:val="28"/>
          <w:szCs w:val="28"/>
        </w:rPr>
      </w:pPr>
      <w:r>
        <w:rPr>
          <w:rFonts w:hint="eastAsia" w:ascii="仿宋_GB2312" w:eastAsia="仿宋_GB2312" w:hAnsiTheme="minorEastAsia"/>
          <w:sz w:val="28"/>
          <w:szCs w:val="28"/>
        </w:rPr>
        <w:t xml:space="preserve">     标准编制组成员及职责见表1。</w:t>
      </w:r>
    </w:p>
    <w:p>
      <w:pPr>
        <w:widowControl/>
        <w:tabs>
          <w:tab w:val="left" w:pos="360"/>
        </w:tabs>
        <w:spacing w:before="156" w:beforeLines="50" w:after="156" w:afterLines="50" w:line="560" w:lineRule="exact"/>
        <w:jc w:val="center"/>
        <w:rPr>
          <w:rFonts w:ascii="黑体" w:hAnsi="Times New Roman" w:eastAsia="黑体" w:cs="Times New Roman"/>
          <w:kern w:val="0"/>
          <w:szCs w:val="21"/>
        </w:rPr>
      </w:pPr>
      <w:r>
        <w:rPr>
          <w:rFonts w:hint="eastAsia" w:ascii="黑体" w:hAnsi="Times New Roman" w:eastAsia="黑体" w:cs="Times New Roman"/>
          <w:kern w:val="0"/>
          <w:szCs w:val="21"/>
        </w:rPr>
        <w:t>表1 标准编制组成员及职责</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13"/>
        <w:gridCol w:w="956"/>
        <w:gridCol w:w="3907"/>
        <w:gridCol w:w="284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tblHeader/>
          <w:jc w:val="center"/>
        </w:trPr>
        <w:tc>
          <w:tcPr>
            <w:tcW w:w="477" w:type="pct"/>
            <w:tcBorders>
              <w:top w:val="single" w:color="auto" w:sz="12" w:space="0"/>
              <w:bottom w:val="single" w:color="auto" w:sz="12" w:space="0"/>
            </w:tcBorders>
            <w:vAlign w:val="center"/>
          </w:tcPr>
          <w:p>
            <w:pPr>
              <w:spacing w:line="560" w:lineRule="exact"/>
              <w:jc w:val="center"/>
              <w:rPr>
                <w:rFonts w:asciiTheme="minorEastAsia" w:hAnsiTheme="minorEastAsia"/>
                <w:b/>
                <w:szCs w:val="21"/>
              </w:rPr>
            </w:pPr>
            <w:r>
              <w:rPr>
                <w:rFonts w:hint="eastAsia" w:asciiTheme="minorEastAsia" w:hAnsiTheme="minorEastAsia"/>
                <w:b/>
                <w:szCs w:val="21"/>
              </w:rPr>
              <w:t>序号</w:t>
            </w:r>
          </w:p>
        </w:tc>
        <w:tc>
          <w:tcPr>
            <w:tcW w:w="561" w:type="pct"/>
            <w:tcBorders>
              <w:top w:val="single" w:color="auto" w:sz="12" w:space="0"/>
              <w:bottom w:val="single" w:color="auto" w:sz="12" w:space="0"/>
            </w:tcBorders>
            <w:vAlign w:val="center"/>
          </w:tcPr>
          <w:p>
            <w:pPr>
              <w:spacing w:line="560" w:lineRule="exact"/>
              <w:jc w:val="center"/>
              <w:rPr>
                <w:rFonts w:asciiTheme="minorEastAsia" w:hAnsiTheme="minorEastAsia"/>
                <w:b/>
                <w:szCs w:val="21"/>
              </w:rPr>
            </w:pPr>
            <w:r>
              <w:rPr>
                <w:rFonts w:hint="eastAsia" w:asciiTheme="minorEastAsia" w:hAnsiTheme="minorEastAsia"/>
                <w:b/>
                <w:szCs w:val="21"/>
              </w:rPr>
              <w:t>姓名</w:t>
            </w:r>
          </w:p>
        </w:tc>
        <w:tc>
          <w:tcPr>
            <w:tcW w:w="2292" w:type="pct"/>
            <w:tcBorders>
              <w:top w:val="single" w:color="auto" w:sz="12" w:space="0"/>
              <w:bottom w:val="single" w:color="auto" w:sz="12" w:space="0"/>
            </w:tcBorders>
            <w:vAlign w:val="center"/>
          </w:tcPr>
          <w:p>
            <w:pPr>
              <w:spacing w:line="560" w:lineRule="exact"/>
              <w:jc w:val="center"/>
              <w:rPr>
                <w:rFonts w:asciiTheme="minorEastAsia" w:hAnsiTheme="minorEastAsia"/>
                <w:b/>
                <w:szCs w:val="21"/>
              </w:rPr>
            </w:pPr>
            <w:r>
              <w:rPr>
                <w:rFonts w:hint="eastAsia" w:asciiTheme="minorEastAsia" w:hAnsiTheme="minorEastAsia"/>
                <w:b/>
                <w:szCs w:val="21"/>
              </w:rPr>
              <w:t>单位</w:t>
            </w:r>
          </w:p>
        </w:tc>
        <w:tc>
          <w:tcPr>
            <w:tcW w:w="1669" w:type="pct"/>
            <w:tcBorders>
              <w:top w:val="single" w:color="auto" w:sz="12" w:space="0"/>
              <w:bottom w:val="single" w:color="auto" w:sz="12" w:space="0"/>
            </w:tcBorders>
            <w:vAlign w:val="center"/>
          </w:tcPr>
          <w:p>
            <w:pPr>
              <w:spacing w:line="560" w:lineRule="exact"/>
              <w:jc w:val="center"/>
              <w:rPr>
                <w:rFonts w:asciiTheme="minorEastAsia" w:hAnsiTheme="minorEastAsia"/>
                <w:b/>
                <w:szCs w:val="21"/>
              </w:rPr>
            </w:pPr>
            <w:r>
              <w:rPr>
                <w:rFonts w:hint="eastAsia" w:asciiTheme="minorEastAsia" w:hAnsiTheme="minorEastAsia"/>
                <w:b/>
                <w:szCs w:val="21"/>
              </w:rPr>
              <w:t>职责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tcBorders>
              <w:top w:val="single" w:color="auto" w:sz="12" w:space="0"/>
            </w:tcBorders>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w:t>
            </w:r>
          </w:p>
        </w:tc>
        <w:tc>
          <w:tcPr>
            <w:tcW w:w="561" w:type="pct"/>
            <w:tcBorders>
              <w:top w:val="single" w:color="auto" w:sz="12" w:space="0"/>
            </w:tcBorders>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蒋泰媛</w:t>
            </w:r>
          </w:p>
        </w:tc>
        <w:tc>
          <w:tcPr>
            <w:tcW w:w="2292" w:type="pct"/>
            <w:tcBorders>
              <w:top w:val="single" w:color="auto" w:sz="12" w:space="0"/>
            </w:tcBorders>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黔东南州苗族侗族自治州中医医院</w:t>
            </w:r>
          </w:p>
        </w:tc>
        <w:tc>
          <w:tcPr>
            <w:tcW w:w="1669" w:type="pct"/>
            <w:tcBorders>
              <w:top w:val="single" w:color="auto" w:sz="12" w:space="0"/>
            </w:tcBorders>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项目总负责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刘伟军</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黔东南州苗族侗族自治州中医医院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项目技术统筹、技术把控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曾曼杰</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贵州云中医院（方法学专家）</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关键指标试验方法确定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 xml:space="preserve">安 </w:t>
            </w:r>
            <w:r>
              <w:rPr>
                <w:rFonts w:ascii="Times New Roman" w:hAnsi="Times New Roman"/>
                <w:sz w:val="18"/>
              </w:rPr>
              <w:t xml:space="preserve"> </w:t>
            </w:r>
            <w:r>
              <w:rPr>
                <w:rFonts w:hint="eastAsia" w:ascii="Times New Roman" w:hAnsi="Times New Roman"/>
                <w:sz w:val="18"/>
              </w:rPr>
              <w:t>平</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南宁市妇幼保健院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标准资料预研，标准编制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5</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李飞舟</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首钢水钢医院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标准编制、关键指标核对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6</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罗永贵</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北京积水潭医院贵州医院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7</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冉华锋</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务川仡佬族苗族自治县中医医院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8</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 xml:space="preserve">彭 </w:t>
            </w:r>
            <w:r>
              <w:rPr>
                <w:rFonts w:ascii="Times New Roman" w:hAnsi="Times New Roman"/>
                <w:sz w:val="18"/>
              </w:rPr>
              <w:t xml:space="preserve"> </w:t>
            </w:r>
            <w:r>
              <w:rPr>
                <w:rFonts w:hint="eastAsia" w:ascii="Times New Roman" w:hAnsi="Times New Roman"/>
                <w:sz w:val="18"/>
              </w:rPr>
              <w:t>强</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石阡县中医医院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9</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徐善勍</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榕江县中医医院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10</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杨国辉</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imes New Roman" w:hAnsi="Times New Roman"/>
                <w:sz w:val="18"/>
              </w:rPr>
              <w:t>黎平县中医医院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11</w:t>
            </w:r>
          </w:p>
        </w:tc>
        <w:tc>
          <w:tcPr>
            <w:tcW w:w="561" w:type="pct"/>
          </w:tcPr>
          <w:p>
            <w:pPr>
              <w:spacing w:line="560" w:lineRule="exact"/>
              <w:jc w:val="center"/>
              <w:rPr>
                <w:rFonts w:ascii="Times New Roman" w:hAnsi="Times New Roman"/>
                <w:sz w:val="18"/>
              </w:rPr>
            </w:pPr>
            <w:r>
              <w:rPr>
                <w:rFonts w:hint="eastAsia" w:ascii="Times New Roman" w:hAnsi="Times New Roman"/>
                <w:sz w:val="18"/>
              </w:rPr>
              <w:t>梁琪</w:t>
            </w:r>
          </w:p>
        </w:tc>
        <w:tc>
          <w:tcPr>
            <w:tcW w:w="2292" w:type="pct"/>
          </w:tcPr>
          <w:p>
            <w:pPr>
              <w:spacing w:line="560" w:lineRule="exact"/>
              <w:jc w:val="center"/>
              <w:rPr>
                <w:rFonts w:ascii="Times New Roman" w:hAnsi="Times New Roman"/>
                <w:sz w:val="18"/>
              </w:rPr>
            </w:pPr>
            <w:r>
              <w:rPr>
                <w:rFonts w:hint="eastAsia" w:ascii="Times New Roman" w:hAnsi="Times New Roman"/>
                <w:sz w:val="18"/>
              </w:rPr>
              <w:t>黔东南州苗族侗族自治州中医医院</w:t>
            </w:r>
          </w:p>
        </w:tc>
        <w:tc>
          <w:tcPr>
            <w:tcW w:w="1669" w:type="pct"/>
            <w:vAlign w:val="center"/>
          </w:tcPr>
          <w:p>
            <w:pPr>
              <w:spacing w:line="560" w:lineRule="exact"/>
              <w:jc w:val="center"/>
              <w:rPr>
                <w:rFonts w:ascii="Times New Roman" w:hAnsi="Times New Roman"/>
                <w:sz w:val="18"/>
              </w:rPr>
            </w:pPr>
            <w:r>
              <w:rPr>
                <w:rFonts w:hint="eastAsia" w:ascii="Times New Roman" w:hAnsi="Times New Roman"/>
                <w:sz w:val="18"/>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12</w:t>
            </w:r>
          </w:p>
        </w:tc>
        <w:tc>
          <w:tcPr>
            <w:tcW w:w="561" w:type="pct"/>
          </w:tcPr>
          <w:p>
            <w:pPr>
              <w:spacing w:line="560" w:lineRule="exact"/>
              <w:jc w:val="center"/>
              <w:rPr>
                <w:rFonts w:ascii="Times New Roman" w:hAnsi="Times New Roman"/>
                <w:sz w:val="18"/>
              </w:rPr>
            </w:pPr>
            <w:r>
              <w:rPr>
                <w:rFonts w:hint="eastAsia" w:ascii="Times New Roman" w:hAnsi="Times New Roman"/>
                <w:sz w:val="18"/>
              </w:rPr>
              <w:t>龙光华</w:t>
            </w:r>
          </w:p>
        </w:tc>
        <w:tc>
          <w:tcPr>
            <w:tcW w:w="2292" w:type="pct"/>
          </w:tcPr>
          <w:p>
            <w:pPr>
              <w:spacing w:line="560" w:lineRule="exact"/>
              <w:jc w:val="center"/>
              <w:rPr>
                <w:rFonts w:ascii="Times New Roman" w:hAnsi="Times New Roman"/>
                <w:sz w:val="18"/>
              </w:rPr>
            </w:pPr>
            <w:r>
              <w:rPr>
                <w:rFonts w:hint="eastAsia" w:ascii="Times New Roman" w:hAnsi="Times New Roman"/>
                <w:sz w:val="18"/>
              </w:rPr>
              <w:t>黔东南州苗族侗族自治州中医医院</w:t>
            </w:r>
          </w:p>
        </w:tc>
        <w:tc>
          <w:tcPr>
            <w:tcW w:w="1669" w:type="pct"/>
            <w:vAlign w:val="center"/>
          </w:tcPr>
          <w:p>
            <w:pPr>
              <w:spacing w:line="560" w:lineRule="exact"/>
              <w:jc w:val="center"/>
              <w:rPr>
                <w:rFonts w:ascii="Times New Roman" w:hAnsi="Times New Roman"/>
                <w:sz w:val="18"/>
              </w:rPr>
            </w:pPr>
            <w:r>
              <w:rPr>
                <w:rFonts w:hint="eastAsia" w:ascii="Times New Roman" w:hAnsi="Times New Roman"/>
                <w:sz w:val="18"/>
              </w:rPr>
              <w:t>项目标准编制统筹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13</w:t>
            </w:r>
          </w:p>
        </w:tc>
        <w:tc>
          <w:tcPr>
            <w:tcW w:w="561" w:type="pct"/>
          </w:tcPr>
          <w:p>
            <w:pPr>
              <w:spacing w:line="560" w:lineRule="exact"/>
              <w:jc w:val="center"/>
              <w:rPr>
                <w:rFonts w:ascii="Times New Roman" w:hAnsi="Times New Roman"/>
                <w:sz w:val="18"/>
              </w:rPr>
            </w:pPr>
            <w:r>
              <w:rPr>
                <w:rFonts w:hint="eastAsia" w:ascii="Times New Roman" w:hAnsi="Times New Roman"/>
                <w:sz w:val="18"/>
              </w:rPr>
              <w:t>张平</w:t>
            </w:r>
          </w:p>
        </w:tc>
        <w:tc>
          <w:tcPr>
            <w:tcW w:w="2292" w:type="pct"/>
          </w:tcPr>
          <w:p>
            <w:pPr>
              <w:spacing w:line="560" w:lineRule="exact"/>
              <w:jc w:val="center"/>
              <w:rPr>
                <w:rFonts w:ascii="Times New Roman" w:hAnsi="Times New Roman"/>
                <w:sz w:val="18"/>
              </w:rPr>
            </w:pPr>
            <w:r>
              <w:rPr>
                <w:rFonts w:hint="eastAsia" w:ascii="Times New Roman" w:hAnsi="Times New Roman"/>
                <w:sz w:val="18"/>
              </w:rPr>
              <w:t>天柱县中医院</w:t>
            </w:r>
          </w:p>
        </w:tc>
        <w:tc>
          <w:tcPr>
            <w:tcW w:w="1669" w:type="pct"/>
            <w:vAlign w:val="center"/>
          </w:tcPr>
          <w:p>
            <w:pPr>
              <w:spacing w:line="560" w:lineRule="exact"/>
              <w:jc w:val="center"/>
              <w:rPr>
                <w:rFonts w:ascii="Times New Roman" w:hAnsi="Times New Roman"/>
                <w:sz w:val="18"/>
              </w:rPr>
            </w:pPr>
            <w:r>
              <w:rPr>
                <w:rFonts w:hint="eastAsia" w:ascii="Times New Roman" w:hAnsi="Times New Roman"/>
                <w:sz w:val="18"/>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w:t>
            </w:r>
          </w:p>
        </w:tc>
        <w:tc>
          <w:tcPr>
            <w:tcW w:w="561" w:type="pct"/>
          </w:tcPr>
          <w:p>
            <w:pPr>
              <w:spacing w:line="560" w:lineRule="exact"/>
              <w:jc w:val="center"/>
              <w:rPr>
                <w:rFonts w:hint="eastAsia" w:ascii="Times New Roman" w:hAnsi="Times New Roman"/>
                <w:sz w:val="18"/>
              </w:rPr>
            </w:pPr>
            <w:r>
              <w:rPr>
                <w:rFonts w:hint="eastAsia" w:ascii="Times New Roman" w:hAnsi="Times New Roman"/>
                <w:sz w:val="18"/>
              </w:rPr>
              <w:t>刘正兴</w:t>
            </w:r>
          </w:p>
        </w:tc>
        <w:tc>
          <w:tcPr>
            <w:tcW w:w="2292" w:type="pct"/>
          </w:tcPr>
          <w:p>
            <w:pPr>
              <w:spacing w:line="560" w:lineRule="exact"/>
              <w:jc w:val="center"/>
              <w:rPr>
                <w:rFonts w:hint="eastAsia" w:ascii="Times New Roman" w:hAnsi="Times New Roman"/>
                <w:sz w:val="18"/>
              </w:rPr>
            </w:pPr>
            <w:r>
              <w:rPr>
                <w:rFonts w:hint="eastAsia" w:ascii="Times New Roman" w:hAnsi="Times New Roman"/>
                <w:sz w:val="18"/>
              </w:rPr>
              <w:t>黔西市中医医院</w:t>
            </w:r>
          </w:p>
        </w:tc>
        <w:tc>
          <w:tcPr>
            <w:tcW w:w="1669" w:type="pct"/>
            <w:vAlign w:val="center"/>
          </w:tcPr>
          <w:p>
            <w:pPr>
              <w:spacing w:line="560" w:lineRule="exact"/>
              <w:jc w:val="center"/>
              <w:rPr>
                <w:rFonts w:hint="eastAsia" w:ascii="Times New Roman" w:hAnsi="Times New Roman"/>
                <w:sz w:val="18"/>
              </w:rPr>
            </w:pPr>
            <w:r>
              <w:rPr>
                <w:rFonts w:hint="eastAsia" w:ascii="Times New Roman" w:hAnsi="Times New Roman"/>
                <w:sz w:val="18"/>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15</w:t>
            </w:r>
          </w:p>
        </w:tc>
        <w:tc>
          <w:tcPr>
            <w:tcW w:w="561" w:type="pct"/>
          </w:tcPr>
          <w:p>
            <w:pPr>
              <w:spacing w:line="560" w:lineRule="exact"/>
              <w:jc w:val="center"/>
              <w:rPr>
                <w:rFonts w:hint="eastAsia" w:ascii="Times New Roman" w:hAnsi="Times New Roman"/>
                <w:sz w:val="18"/>
              </w:rPr>
            </w:pPr>
            <w:r>
              <w:rPr>
                <w:rFonts w:hint="eastAsia" w:ascii="Times New Roman" w:hAnsi="Times New Roman"/>
                <w:sz w:val="18"/>
              </w:rPr>
              <w:t>唐玲</w:t>
            </w:r>
          </w:p>
        </w:tc>
        <w:tc>
          <w:tcPr>
            <w:tcW w:w="2292" w:type="pct"/>
          </w:tcPr>
          <w:p>
            <w:pPr>
              <w:spacing w:line="560" w:lineRule="exact"/>
              <w:jc w:val="center"/>
              <w:rPr>
                <w:rFonts w:hint="eastAsia" w:ascii="Times New Roman" w:hAnsi="Times New Roman"/>
                <w:sz w:val="18"/>
              </w:rPr>
            </w:pPr>
            <w:r>
              <w:rPr>
                <w:rFonts w:hint="eastAsia" w:ascii="Times New Roman" w:hAnsi="Times New Roman"/>
                <w:sz w:val="18"/>
              </w:rPr>
              <w:t>毕节市七星关区中医妇幼集团医院</w:t>
            </w:r>
          </w:p>
        </w:tc>
        <w:tc>
          <w:tcPr>
            <w:tcW w:w="1669" w:type="pct"/>
            <w:vAlign w:val="center"/>
          </w:tcPr>
          <w:p>
            <w:pPr>
              <w:spacing w:line="560" w:lineRule="exact"/>
              <w:jc w:val="center"/>
              <w:rPr>
                <w:rFonts w:hint="eastAsia" w:ascii="Times New Roman" w:hAnsi="Times New Roman"/>
                <w:sz w:val="18"/>
              </w:rPr>
            </w:pPr>
            <w:r>
              <w:rPr>
                <w:rFonts w:hint="eastAsia" w:ascii="Times New Roman" w:hAnsi="Times New Roman"/>
                <w:sz w:val="18"/>
              </w:rPr>
              <w:t>标准资料搜集、整理、归档</w:t>
            </w:r>
          </w:p>
        </w:tc>
      </w:tr>
    </w:tbl>
    <w:p>
      <w:pPr>
        <w:pStyle w:val="11"/>
        <w:numPr>
          <w:ilvl w:val="0"/>
          <w:numId w:val="3"/>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制定标准的原则和依据</w:t>
      </w:r>
    </w:p>
    <w:p>
      <w:pPr>
        <w:pStyle w:val="11"/>
        <w:numPr>
          <w:ilvl w:val="0"/>
          <w:numId w:val="5"/>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标准编制原则</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1.合规性原则</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标准编制符合相关法律法规与国家强制标准的要求。</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2.适用性原则</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在充分梳理、分析牵头单位的想法和需求，对《密集型银质针疗法治疗退变性腰椎管狭窄症技术操作规范》的术语和定义、范围和内容、环境与设施、流程，质量控制与保障等内容等作出要求，为银质针门诊的建设等提供有效的指导。</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3.目的性原则</w:t>
      </w:r>
    </w:p>
    <w:p>
      <w:pPr>
        <w:pStyle w:val="11"/>
        <w:spacing w:line="560" w:lineRule="exact"/>
        <w:ind w:firstLine="560"/>
        <w:jc w:val="left"/>
        <w:rPr>
          <w:rFonts w:hint="eastAsia" w:ascii="仿宋_GB2312" w:eastAsia="仿宋_GB2312" w:hAnsiTheme="minorEastAsia"/>
          <w:sz w:val="28"/>
          <w:szCs w:val="28"/>
        </w:rPr>
      </w:pPr>
      <w:r>
        <w:rPr>
          <w:rFonts w:hint="eastAsia" w:ascii="仿宋_GB2312" w:eastAsia="仿宋_GB2312" w:hAnsiTheme="minorEastAsia"/>
          <w:sz w:val="28"/>
          <w:szCs w:val="28"/>
        </w:rPr>
        <w:t>《密集型银质针疗法治疗退变性腰椎管狭窄症技术操作规范》为后期各级医疗机构建立银质针疗法技术临床应用论证和评估等管理制度、机构内技术操作规范和管理要求、管理规定和风险防范措施、加强对技术操作人员的培训和考核，规范人员操作行为，严格按照技术操作规范开展技术操作提供依据。也为各级卫生健康行政部门和中医药主管部门要充分运用信息化等手段加强对银质针医疗技术应用的事中事后监管，保证医疗质量，防范医疗风险提供依据。</w:t>
      </w:r>
    </w:p>
    <w:p>
      <w:pPr>
        <w:pStyle w:val="11"/>
        <w:spacing w:line="560" w:lineRule="exact"/>
        <w:ind w:firstLine="560"/>
        <w:jc w:val="left"/>
        <w:rPr>
          <w:rFonts w:hint="eastAsia" w:ascii="仿宋_GB2312" w:eastAsia="仿宋_GB2312" w:hAnsiTheme="minorEastAsia"/>
          <w:sz w:val="28"/>
          <w:szCs w:val="28"/>
        </w:rPr>
      </w:pPr>
      <w:r>
        <w:rPr>
          <w:rFonts w:hint="eastAsia" w:ascii="仿宋_GB2312" w:eastAsia="仿宋_GB2312" w:hAnsiTheme="minorEastAsia"/>
          <w:sz w:val="28"/>
          <w:szCs w:val="28"/>
        </w:rPr>
        <w:t>本文件旨在规范密集型银质针疗法治疗退变性腰椎管狭窄症技术，拓展银质针服务能力，为人民群众提供安全、有效的 银质针疗法，同时为行业主管部门科学评价 银质针病房服务能力提供参考。</w:t>
      </w:r>
    </w:p>
    <w:p>
      <w:pPr>
        <w:pStyle w:val="11"/>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4.规范性原则</w:t>
      </w:r>
    </w:p>
    <w:p>
      <w:pPr>
        <w:pStyle w:val="11"/>
        <w:spacing w:line="560" w:lineRule="exact"/>
        <w:ind w:firstLine="560"/>
        <w:jc w:val="left"/>
        <w:rPr>
          <w:rFonts w:ascii="仿宋_GB2312" w:eastAsia="仿宋_GB2312" w:hAnsiTheme="minorEastAsia"/>
          <w:sz w:val="28"/>
          <w:szCs w:val="28"/>
        </w:rPr>
      </w:pPr>
      <w:r>
        <w:rPr>
          <w:rFonts w:hint="eastAsia" w:ascii="仿宋_GB2312" w:hAnsi="楷体" w:eastAsia="仿宋_GB2312" w:cs="Times New Roman"/>
          <w:kern w:val="0"/>
          <w:sz w:val="28"/>
          <w:szCs w:val="28"/>
        </w:rPr>
        <w:t>本标准编写格式依据 GB/T 1.1-2020《标准化工作导则第 1 部分：</w:t>
      </w:r>
      <w:r>
        <w:rPr>
          <w:rFonts w:hint="eastAsia" w:ascii="仿宋_GB2312" w:eastAsia="仿宋_GB2312" w:hAnsiTheme="minorEastAsia"/>
          <w:sz w:val="28"/>
          <w:szCs w:val="28"/>
        </w:rPr>
        <w:t>标准化文件的结构和起草规则</w:t>
      </w:r>
      <w:r>
        <w:rPr>
          <w:rFonts w:hint="eastAsia" w:ascii="仿宋_GB2312" w:hAnsi="楷体" w:eastAsia="仿宋_GB2312" w:cs="Times New Roman"/>
          <w:kern w:val="0"/>
          <w:sz w:val="28"/>
          <w:szCs w:val="28"/>
        </w:rPr>
        <w:t>》给出的规则编写。</w:t>
      </w:r>
    </w:p>
    <w:p>
      <w:pPr>
        <w:pStyle w:val="11"/>
        <w:numPr>
          <w:ilvl w:val="0"/>
          <w:numId w:val="5"/>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标准编制依据</w:t>
      </w:r>
    </w:p>
    <w:p>
      <w:pPr>
        <w:spacing w:line="56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本标准共计引用了4项标准及法规，分别为：</w:t>
      </w:r>
    </w:p>
    <w:p>
      <w:pPr>
        <w:pStyle w:val="12"/>
        <w:spacing w:line="560" w:lineRule="exact"/>
        <w:rPr>
          <w:rFonts w:hint="eastAsia" w:ascii="仿宋_GB2312" w:eastAsia="仿宋_GB2312" w:hAnsiTheme="minorEastAsia" w:cstheme="minorBidi"/>
          <w:kern w:val="2"/>
          <w:sz w:val="28"/>
          <w:szCs w:val="28"/>
        </w:rPr>
      </w:pPr>
      <w:r>
        <w:rPr>
          <w:rFonts w:hint="eastAsia"/>
        </w:rPr>
        <w:t xml:space="preserve"> </w:t>
      </w:r>
      <w:r>
        <w:rPr>
          <w:rFonts w:hint="eastAsia" w:ascii="仿宋_GB2312" w:eastAsia="仿宋_GB2312" w:hAnsiTheme="minorEastAsia" w:cstheme="minorBidi"/>
          <w:kern w:val="2"/>
          <w:sz w:val="28"/>
          <w:szCs w:val="28"/>
        </w:rPr>
        <w:t>GB/T 40973-2021 针灸门诊基本服务规范</w:t>
      </w:r>
    </w:p>
    <w:p>
      <w:pPr>
        <w:pStyle w:val="12"/>
        <w:spacing w:line="560" w:lineRule="exact"/>
        <w:ind w:firstLine="560"/>
        <w:rPr>
          <w:rFonts w:hint="eastAsia"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WS/T 313  医务人员手卫生规范</w:t>
      </w:r>
    </w:p>
    <w:p>
      <w:pPr>
        <w:pStyle w:val="12"/>
        <w:spacing w:line="560" w:lineRule="exact"/>
        <w:ind w:firstLine="560"/>
        <w:rPr>
          <w:rFonts w:hint="eastAsia"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DB45/T2137 银质针治疗技术操作规范</w:t>
      </w:r>
    </w:p>
    <w:p>
      <w:pPr>
        <w:pStyle w:val="12"/>
        <w:spacing w:line="560" w:lineRule="exact"/>
        <w:ind w:firstLine="560"/>
        <w:rPr>
          <w:rFonts w:ascii="黑体" w:hAnsi="黑体" w:eastAsia="黑体"/>
          <w:sz w:val="28"/>
          <w:szCs w:val="28"/>
        </w:rPr>
      </w:pPr>
      <w:r>
        <w:rPr>
          <w:rFonts w:hint="eastAsia" w:ascii="仿宋_GB2312" w:eastAsia="仿宋_GB2312" w:hAnsiTheme="minorEastAsia" w:cstheme="minorBidi"/>
          <w:kern w:val="2"/>
          <w:sz w:val="28"/>
          <w:szCs w:val="28"/>
        </w:rPr>
        <w:t>T/CMAM ZH1-2023 银质针技术操作规范</w:t>
      </w:r>
      <w:r>
        <w:rPr>
          <w:rFonts w:hint="eastAsia" w:ascii="黑体" w:hAnsi="黑体" w:eastAsia="黑体"/>
          <w:sz w:val="28"/>
          <w:szCs w:val="28"/>
        </w:rPr>
        <w:t>主要条款的说明</w:t>
      </w:r>
    </w:p>
    <w:p>
      <w:pPr>
        <w:pStyle w:val="11"/>
        <w:numPr>
          <w:ilvl w:val="0"/>
          <w:numId w:val="6"/>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术语和定义</w:t>
      </w:r>
    </w:p>
    <w:p>
      <w:pPr>
        <w:spacing w:line="560" w:lineRule="exact"/>
        <w:ind w:firstLine="560" w:firstLineChars="200"/>
        <w:jc w:val="left"/>
        <w:rPr>
          <w:rFonts w:hint="eastAsia" w:ascii="仿宋_GB2312" w:eastAsia="仿宋_GB2312" w:hAnsiTheme="minorEastAsia"/>
          <w:sz w:val="28"/>
          <w:szCs w:val="28"/>
        </w:rPr>
      </w:pPr>
      <w:r>
        <w:rPr>
          <w:rFonts w:ascii="仿宋_GB2312" w:eastAsia="仿宋_GB2312" w:hAnsiTheme="minorEastAsia"/>
          <w:sz w:val="28"/>
          <w:szCs w:val="28"/>
        </w:rPr>
        <w:t>3.1</w:t>
      </w:r>
      <w:r>
        <w:rPr>
          <w:rFonts w:hint="eastAsia" w:ascii="仿宋_GB2312" w:eastAsia="仿宋_GB2312" w:hAnsiTheme="minorEastAsia"/>
          <w:sz w:val="28"/>
          <w:szCs w:val="28"/>
        </w:rPr>
        <w:t>银质针  Silver Needles</w:t>
      </w:r>
    </w:p>
    <w:p>
      <w:pPr>
        <w:spacing w:line="560" w:lineRule="exact"/>
        <w:ind w:firstLine="560" w:firstLineChars="200"/>
        <w:jc w:val="left"/>
        <w:rPr>
          <w:rFonts w:hint="eastAsia" w:ascii="仿宋_GB2312" w:eastAsia="仿宋_GB2312" w:hAnsiTheme="minorEastAsia"/>
          <w:sz w:val="28"/>
          <w:szCs w:val="28"/>
        </w:rPr>
      </w:pPr>
      <w:r>
        <w:rPr>
          <w:rFonts w:hint="eastAsia" w:ascii="仿宋_GB2312" w:eastAsia="仿宋_GB2312" w:hAnsiTheme="minorEastAsia"/>
          <w:sz w:val="28"/>
          <w:szCs w:val="28"/>
        </w:rPr>
        <w:t>从古代“九针”中的体针和长针发展而成的一种针具，针粗 0.8mm 或 1.1mm,长度有110mm、130mm、150mm、170mm、190mm、210mm等规格，主要成分是80%以上的白银、20%以下红铜、锌等，具有良好的导热性能。包括白银含量85%以上电热型银质针。</w:t>
      </w:r>
    </w:p>
    <w:p>
      <w:pPr>
        <w:spacing w:line="560" w:lineRule="exact"/>
        <w:ind w:firstLine="560" w:firstLineChars="200"/>
        <w:jc w:val="left"/>
        <w:rPr>
          <w:rFonts w:hint="eastAsia" w:ascii="仿宋_GB2312" w:eastAsia="仿宋_GB2312" w:hAnsiTheme="minorEastAsia"/>
          <w:sz w:val="28"/>
          <w:szCs w:val="28"/>
        </w:rPr>
      </w:pPr>
      <w:r>
        <w:rPr>
          <w:rFonts w:ascii="仿宋_GB2312" w:eastAsia="仿宋_GB2312" w:hAnsiTheme="minorEastAsia"/>
          <w:sz w:val="28"/>
          <w:szCs w:val="28"/>
        </w:rPr>
        <w:t>3.2</w:t>
      </w:r>
      <w:r>
        <w:rPr>
          <w:rFonts w:hint="eastAsia" w:ascii="仿宋_GB2312" w:eastAsia="仿宋_GB2312" w:hAnsiTheme="minorEastAsia"/>
          <w:sz w:val="28"/>
          <w:szCs w:val="28"/>
        </w:rPr>
        <w:t xml:space="preserve">银质针疗法  Silver needle therapy </w:t>
      </w:r>
    </w:p>
    <w:p>
      <w:pPr>
        <w:spacing w:line="560" w:lineRule="exact"/>
        <w:ind w:firstLine="560" w:firstLineChars="200"/>
        <w:jc w:val="left"/>
        <w:rPr>
          <w:rFonts w:hint="eastAsia" w:ascii="仿宋_GB2312" w:eastAsia="仿宋_GB2312" w:hAnsiTheme="minorEastAsia"/>
          <w:sz w:val="28"/>
          <w:szCs w:val="28"/>
        </w:rPr>
      </w:pPr>
      <w:r>
        <w:rPr>
          <w:rFonts w:hint="eastAsia" w:ascii="仿宋_GB2312" w:eastAsia="仿宋_GB2312" w:hAnsiTheme="minorEastAsia"/>
          <w:sz w:val="28"/>
          <w:szCs w:val="28"/>
        </w:rPr>
        <w:t>对肌肉、肌腱、关节囊进行深部针刺，具有消除局部炎症反应，改善局部血液循环，解除局部肌肉痉挛，达到荣养筋骨疗法的针刺治疗方法。</w:t>
      </w:r>
    </w:p>
    <w:p>
      <w:pPr>
        <w:spacing w:line="560" w:lineRule="exact"/>
        <w:ind w:firstLine="560" w:firstLineChars="200"/>
        <w:jc w:val="left"/>
        <w:rPr>
          <w:rFonts w:hint="eastAsia" w:ascii="仿宋_GB2312" w:eastAsia="仿宋_GB2312" w:hAnsiTheme="minorEastAsia"/>
          <w:sz w:val="28"/>
          <w:szCs w:val="28"/>
        </w:rPr>
      </w:pPr>
      <w:r>
        <w:rPr>
          <w:rFonts w:ascii="仿宋_GB2312" w:eastAsia="仿宋_GB2312" w:hAnsiTheme="minorEastAsia"/>
          <w:sz w:val="28"/>
          <w:szCs w:val="28"/>
        </w:rPr>
        <w:t>3.3</w:t>
      </w:r>
      <w:r>
        <w:rPr>
          <w:rFonts w:hint="eastAsia" w:ascii="仿宋_GB2312" w:eastAsia="仿宋_GB2312" w:hAnsiTheme="minorEastAsia"/>
          <w:sz w:val="28"/>
          <w:szCs w:val="28"/>
        </w:rPr>
        <w:t xml:space="preserve">退变性腰椎管狭窄症 Degenerative lumbar spinal stenosis </w:t>
      </w:r>
    </w:p>
    <w:p>
      <w:pPr>
        <w:spacing w:line="56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由于退行性病变引起椎管、侧隐窝、神经根管等狭窄，进而引起腰椎神经组织受压、血液循环障碍，出现以神经源性跛行或下肢神经根性疼痛为主要特征的临床综合征。</w:t>
      </w:r>
    </w:p>
    <w:p>
      <w:pPr>
        <w:pStyle w:val="11"/>
        <w:numPr>
          <w:ilvl w:val="0"/>
          <w:numId w:val="6"/>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技术要求</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  适应症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退行性病变引起椎管、侧隐窝、神经根管等狭窄而引起的腰椎管狭窄，也适用于腰椎间盘突出、腰椎不稳、腰椎滑脱或脊柱侧凸引起的狭窄。</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  操作步骤与要求</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  操作前准备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5.1.1治疗地点</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依法取得执业许可的医疗机构。</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5.1.2 治疗环境</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5.1.2.1内部光照应符合以下要求：执行GB/T 40973-2021 5.3.1的规定。</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5.1.2.2内部温度与空气调节：</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——诊室内应保持适宜的温度，在特定的季节和地区，应有温度调节装置或措施：</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——诊室内应保持空气的适当流动或通风，完全封闭的诊室应定期换气：</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——在传统银质针诊室内应安装排烟设备或采取排烟措施，使烟雾及时排出诊室，有条件的医疗机构可设置专门的银质针治疗室。</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5.1.3 治疗部位</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通常选择腰骶后部、腰骶脊柱段、臀旁侧、大腿根部、臀后侧进行一系列有规律的压痛点针刺治疗 。</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5.1.4 体位选择</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腰骶后部、腰骶脊柱段、取俯卧位，臀旁侧及大腿根部分别需侧卧位和仰卧位。</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5.1.5 医师站位及准备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 xml:space="preserve">治疗操作区空间应满足医生操作和患者接受治疗的需要，同时宜加强保护患者隐私措施。提前签署知情同意书。医师洗手消毒应符合WS/T313的规定，参照DB45/T2137的规定，戴无菌口罩、帽子及一次性使用灭菌橡胶外科手套，站于患者左、右侧皆可。 </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5.1.6治疗前评估</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完成患者生命体征、血糖、凝血四项、输血前四项、血常规等常规检查、下肢B超、肌电图及脊柱相关影像学检查。</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5.1.7 器具准备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配备的主要设备与器械包括但不限于：</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必备设备与器械：包括普通不同规格的银质针（1.1*110mm、1.1*130mm、1.1*150mm、1.1*170mm、1.1*190mm、1.1*210mm、0.8*110mm、0.8*130mm、0.8*150mm）针具、可重复使用的银质针高温灭菌分装、灭菌的消毒辅料包（包内放至少四张120*120cm的治疗巾，10张棉质的小毛巾、无菌消毒盘、卵圆钳、止血钳、消毒棉球、生理盐水100ml、500ml各3瓶、棉垫、2%利多卡因2支）。</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——有条件的可选备医用银质针导热巡检仪、麻醉枪。</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 操作方法</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5.2.1 布针思路</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腰骶后部起自腰三角区外段髂嵴、髂后上棘内上缘、骶髂关节内侧缘止于 S 4 水平的皮肤区域，符合骶棘肌下端附着处的深浅层压痛点（区），布针两排，每排 10 针 。在腰脊柱棘突旁椎板处或者沿骶骨背面棘突旁 1.0～2.0 cm 直线布针两排，针距为 1.0～1.5 cm，每排为 6～8枚，垂直或斜向内侧进针。在臀肌髂骨翼的附着点处刺入三排银质针，每排进针 5～6 枚 。</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5.2.2 注意事项</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基于5.2.1布针思路基础上，可根据患者病情调整银质针数量。</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5.2.3 消毒</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进针点定位完毕后，术者戴一次性使用灭菌橡胶外科手套，按手术消毒范围进行皮肤常规消毒，消毒范围超定位点 15 cm。</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5.2.4 麻醉</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针刺部位消毒后，继续以 0.25%～0.50% 利多卡因注射液在针刺点皮内和深部骨膜下麻醉，使银质针进针与加热时针点皮肤无痛感，以及适度降低针刺提插时的剧痛感。对于细银质针，因针体细，可酌情不予麻醉。</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5.2.5 针刺操作</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选择经压力蒸汽灭菌且长度匹配的银质针分别刺入皮丘，对准深层病变区域方向做直刺或斜刺，经皮下肌肉或筋膜直达骨筋膜附着处（压痛点），引出较强烈的酸沉胀麻痛针感为止。通常软组织病变越重，其针感痛觉越强。</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5.2.6 铺巾流程</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使用无菌包布或棉垫覆盖针与针之间皮肤及周围暴露皮肤，布巾钳固定包布或棉垫。</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5.2.7 银质针导热</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银质针导热方式分为两种：</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——艾柱导热法：可用艾条剪成2-3CM艾柱，以95%医用酒精浸泡后的艾柱插到每一根银质针尾上，点燃艾柱，如患者感觉过烫，应用无菌生理盐水喷洒针身降温。</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探头导热法：目前临床常用银质针导热巡检仪加热，将导热探头套入针尾后进行加热，外加热方式需根据各枚针具的不同留针长度而调节加热的温度和加热时间，以免皮肤发生烫伤。一般针具与皮肤接触点温度保持在 42～45 ℃。</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5.2.8 出针</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艾柱导热法待艾球燃尽，探头导热法待导热探头加热 15～20 min 结束后自动关机，待针刺针冷却后逐一起针，并按压以避免针刺病变组织内出血，形成血肿。</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5.2.9 术后处理</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w:t>
      </w:r>
      <w:r>
        <w:rPr>
          <w:rFonts w:hint="eastAsia" w:ascii="仿宋_GB2312" w:eastAsia="仿宋_GB2312" w:hAnsiTheme="minorEastAsia"/>
          <w:sz w:val="28"/>
          <w:szCs w:val="28"/>
          <w:lang w:val="en-US" w:eastAsia="zh-CN"/>
        </w:rPr>
        <w:t>9.</w:t>
      </w:r>
      <w:r>
        <w:rPr>
          <w:rFonts w:hint="eastAsia" w:ascii="仿宋_GB2312" w:eastAsia="仿宋_GB2312" w:hAnsiTheme="minorEastAsia"/>
          <w:sz w:val="28"/>
          <w:szCs w:val="28"/>
        </w:rPr>
        <w:t>1在针眼处涂以 0.3%～0.5% 碘伏消毒。3 d内不浸洗患部或不与水接触，以免针孔皮肤感染。</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w:t>
      </w:r>
      <w:r>
        <w:rPr>
          <w:rFonts w:hint="eastAsia" w:ascii="仿宋_GB2312" w:eastAsia="仿宋_GB2312" w:hAnsiTheme="minorEastAsia"/>
          <w:sz w:val="28"/>
          <w:szCs w:val="28"/>
          <w:lang w:val="en-US" w:eastAsia="zh-CN"/>
        </w:rPr>
        <w:t>9.</w:t>
      </w:r>
      <w:r>
        <w:rPr>
          <w:rFonts w:hint="eastAsia" w:ascii="仿宋_GB2312" w:eastAsia="仿宋_GB2312" w:hAnsiTheme="minorEastAsia"/>
          <w:sz w:val="28"/>
          <w:szCs w:val="28"/>
        </w:rPr>
        <w:t>2 治疗后，应注意休息、保暖，避免感受风寒。</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w:t>
      </w:r>
      <w:r>
        <w:rPr>
          <w:rFonts w:hint="eastAsia" w:ascii="仿宋_GB2312" w:eastAsia="仿宋_GB2312" w:hAnsiTheme="minorEastAsia"/>
          <w:sz w:val="28"/>
          <w:szCs w:val="28"/>
          <w:lang w:val="en-US" w:eastAsia="zh-CN"/>
        </w:rPr>
        <w:t>9.</w:t>
      </w:r>
      <w:bookmarkStart w:id="1" w:name="_GoBack"/>
      <w:bookmarkEnd w:id="1"/>
      <w:r>
        <w:rPr>
          <w:rFonts w:hint="eastAsia" w:ascii="仿宋_GB2312" w:eastAsia="仿宋_GB2312" w:hAnsiTheme="minorEastAsia"/>
          <w:sz w:val="28"/>
          <w:szCs w:val="28"/>
        </w:rPr>
        <w:t>3 治疗后，宜适量补充水分和少量易消化食物。</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 禁忌症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6.1非退行性因素致椎管狭窄者。</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6.2.中、重度骨质疏松患者。</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6.3进行性根性损害或马尾神经功能障碍。</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6.4影像检查示腰椎椎弓根狭部裂及脊柱肿瘤、结核、感染等疾病。</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6.5合并严重肝肾疾病、心脑血管、呼吸系统、糖尿病等内科疾病，或精神病患者。</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6.6严重下肢静脉曲张或软组织感染者。</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6.7麻药过敏、过敏体质或对银质针局过敏者。</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6.8髋、膝源性腰痛患者。</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6.9中、重度骨质疏松患者。</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 应急处置</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晕针等参照T/CMAM ZH1-2023执行。</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8 术者要求</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从业人员通过资格考试、并经注册取得中医类别执业医师执业资格证书后，同时经过银质针治疗的专业培训，方可从事银质针诊疗服务，具体见《中华人民共和国执业医师法》《 中华人民共和国中医药条例》。</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9 疗程及间隔时间</w:t>
      </w:r>
    </w:p>
    <w:p>
      <w:pPr>
        <w:spacing w:after="156" w:afterLines="50" w:line="560" w:lineRule="exact"/>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参照T/CMAM ZH1-2023规定。</w:t>
      </w:r>
    </w:p>
    <w:p>
      <w:pPr>
        <w:pStyle w:val="11"/>
        <w:numPr>
          <w:ilvl w:val="0"/>
          <w:numId w:val="3"/>
        </w:numPr>
        <w:spacing w:line="560" w:lineRule="exact"/>
        <w:ind w:firstLineChars="0"/>
        <w:rPr>
          <w:rFonts w:ascii="黑体" w:hAnsi="黑体" w:eastAsia="黑体"/>
          <w:sz w:val="28"/>
          <w:szCs w:val="28"/>
        </w:rPr>
      </w:pPr>
      <w:r>
        <w:rPr>
          <w:rFonts w:hint="eastAsia" w:ascii="黑体" w:hAnsi="黑体" w:eastAsia="黑体"/>
          <w:sz w:val="28"/>
          <w:szCs w:val="28"/>
        </w:rPr>
        <w:t>主要试验（或验证）情况分析</w:t>
      </w:r>
    </w:p>
    <w:p>
      <w:pPr>
        <w:spacing w:line="56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 xml:space="preserve">标准编制工作组依据标准初稿中拟定的《密集型银质针疗法治疗退变性腰椎管狭窄症技术操作规范》的建设技术要求拟定在相关方中开展广泛调研，充分考虑各相关的方的需求及实际，并结合临床开展经验总结，充分考虑到《密集型银质针疗法治疗退变性腰椎管狭窄症技术操作规范》的建设现状与发展特点，制定了标准的适用范围。 </w:t>
      </w:r>
    </w:p>
    <w:p>
      <w:pPr>
        <w:pStyle w:val="11"/>
        <w:numPr>
          <w:ilvl w:val="0"/>
          <w:numId w:val="3"/>
        </w:numPr>
        <w:spacing w:line="560" w:lineRule="exact"/>
        <w:ind w:firstLineChars="0"/>
        <w:rPr>
          <w:rFonts w:ascii="黑体" w:hAnsi="黑体" w:eastAsia="黑体"/>
          <w:sz w:val="28"/>
          <w:szCs w:val="28"/>
        </w:rPr>
      </w:pPr>
      <w:r>
        <w:rPr>
          <w:rFonts w:hint="eastAsia" w:ascii="黑体" w:hAnsi="黑体" w:eastAsia="黑体"/>
          <w:sz w:val="28"/>
          <w:szCs w:val="28"/>
        </w:rPr>
        <w:t>标准中涉及专利情况</w:t>
      </w:r>
    </w:p>
    <w:p>
      <w:pPr>
        <w:spacing w:line="560" w:lineRule="exact"/>
        <w:ind w:firstLine="700" w:firstLineChars="250"/>
        <w:jc w:val="left"/>
        <w:rPr>
          <w:rFonts w:ascii="仿宋_GB2312" w:eastAsia="仿宋_GB2312" w:hAnsiTheme="minorEastAsia"/>
          <w:sz w:val="28"/>
          <w:szCs w:val="28"/>
        </w:rPr>
      </w:pPr>
      <w:r>
        <w:rPr>
          <w:rFonts w:hint="eastAsia" w:ascii="仿宋_GB2312" w:eastAsia="仿宋_GB2312" w:hAnsiTheme="minorEastAsia"/>
          <w:sz w:val="28"/>
          <w:szCs w:val="28"/>
        </w:rPr>
        <w:t>无</w:t>
      </w:r>
    </w:p>
    <w:p>
      <w:pPr>
        <w:pStyle w:val="11"/>
        <w:numPr>
          <w:ilvl w:val="0"/>
          <w:numId w:val="3"/>
        </w:numPr>
        <w:spacing w:line="560" w:lineRule="exact"/>
        <w:ind w:firstLineChars="0"/>
        <w:rPr>
          <w:rFonts w:ascii="黑体" w:hAnsi="黑体" w:eastAsia="黑体"/>
          <w:sz w:val="28"/>
          <w:szCs w:val="28"/>
        </w:rPr>
      </w:pPr>
      <w:r>
        <w:rPr>
          <w:rFonts w:hint="eastAsia" w:ascii="黑体" w:hAnsi="黑体" w:eastAsia="黑体"/>
          <w:sz w:val="28"/>
          <w:szCs w:val="28"/>
        </w:rPr>
        <w:t>产业化情况</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密集型银质针疗法治疗退变性腰椎管狭窄症技术操作规范》为后期各级医疗机构建立银质针疗法技术临床应用论证和评估等管理制度、机构内技术操作规范和管理要求、管理规定和风险防范措施、加强对技术操作人员的培训和考核，规范人员操作行为，严格按照技术操作规范开展技术操作提供依据。也为各级卫生健康行政部门和中医药主管部门要充分运用信息化等手段加强对银质针医疗技术应用的事中事后监管，保证医疗质量，防范医疗风险提供依据。</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本文件旨在规范密集型银质针疗法治疗退变性腰椎管狭窄症技术，拓展银质针服务能力，为人民群众提供安全、有效的 银质针疗法，同时为行业主管部门科学评价 银质针病房服务能力提供参考。后期产业化预期，</w:t>
      </w:r>
      <w:r>
        <w:rPr>
          <w:rFonts w:ascii="仿宋_GB2312" w:eastAsia="仿宋_GB2312" w:hAnsiTheme="minorEastAsia"/>
          <w:sz w:val="28"/>
          <w:szCs w:val="28"/>
        </w:rPr>
        <w:t>银质针疗法</w:t>
      </w:r>
      <w:r>
        <w:rPr>
          <w:rFonts w:hint="eastAsia" w:ascii="仿宋_GB2312" w:eastAsia="仿宋_GB2312" w:hAnsiTheme="minorEastAsia"/>
          <w:sz w:val="28"/>
          <w:szCs w:val="28"/>
        </w:rPr>
        <w:t>已在我国大部分医院开展应用，团队成员牵头制定了广西省地方标准《</w:t>
      </w:r>
      <w:r>
        <w:rPr>
          <w:rFonts w:ascii="仿宋_GB2312" w:eastAsia="仿宋_GB2312" w:hAnsiTheme="minorEastAsia"/>
          <w:sz w:val="28"/>
          <w:szCs w:val="28"/>
        </w:rPr>
        <w:t>银质针治疗技术操作规范</w:t>
      </w:r>
      <w:r>
        <w:rPr>
          <w:rFonts w:hint="eastAsia" w:ascii="仿宋_GB2312" w:eastAsia="仿宋_GB2312" w:hAnsiTheme="minorEastAsia"/>
          <w:sz w:val="28"/>
          <w:szCs w:val="28"/>
        </w:rPr>
        <w:t>》（</w:t>
      </w:r>
      <w:r>
        <w:rPr>
          <w:rFonts w:ascii="仿宋_GB2312" w:eastAsia="仿宋_GB2312" w:hAnsiTheme="minorEastAsia"/>
          <w:sz w:val="28"/>
          <w:szCs w:val="28"/>
        </w:rPr>
        <w:t>DB45T2137</w:t>
      </w:r>
      <w:r>
        <w:rPr>
          <w:rFonts w:hint="eastAsia" w:ascii="仿宋_GB2312" w:eastAsia="仿宋_GB2312" w:hAnsiTheme="minorEastAsia"/>
          <w:sz w:val="28"/>
          <w:szCs w:val="28"/>
        </w:rPr>
        <w:t>），在此基础上制定《密集型银质针疗法治疗退变性腰椎管狭窄症技术操作规范》，将更好地发挥</w:t>
      </w:r>
      <w:r>
        <w:rPr>
          <w:rFonts w:ascii="仿宋_GB2312" w:eastAsia="仿宋_GB2312" w:hAnsiTheme="minorEastAsia"/>
          <w:sz w:val="28"/>
          <w:szCs w:val="28"/>
        </w:rPr>
        <w:t>银质针疗法</w:t>
      </w:r>
      <w:r>
        <w:rPr>
          <w:rFonts w:hint="eastAsia" w:ascii="仿宋_GB2312" w:eastAsia="仿宋_GB2312" w:hAnsiTheme="minorEastAsia"/>
          <w:sz w:val="28"/>
          <w:szCs w:val="28"/>
        </w:rPr>
        <w:t>在各级各类医院的规范的开展应用。</w:t>
      </w:r>
      <w:r>
        <w:rPr>
          <w:rFonts w:ascii="仿宋_GB2312" w:eastAsia="仿宋_GB2312" w:hAnsiTheme="minorEastAsia"/>
          <w:sz w:val="28"/>
          <w:szCs w:val="28"/>
        </w:rPr>
        <w:t>推动建立符合银质针人才培养模式和使用评价机制、推动银质针人才</w:t>
      </w:r>
      <w:r>
        <w:rPr>
          <w:rFonts w:hint="eastAsia" w:ascii="仿宋_GB2312" w:eastAsia="仿宋_GB2312" w:hAnsiTheme="minorEastAsia"/>
          <w:sz w:val="28"/>
          <w:szCs w:val="28"/>
        </w:rPr>
        <w:t>队伍建设</w:t>
      </w:r>
      <w:r>
        <w:rPr>
          <w:rFonts w:ascii="仿宋_GB2312" w:eastAsia="仿宋_GB2312" w:hAnsiTheme="minorEastAsia"/>
          <w:sz w:val="28"/>
          <w:szCs w:val="28"/>
        </w:rPr>
        <w:t>、推动</w:t>
      </w:r>
      <w:r>
        <w:rPr>
          <w:rFonts w:hint="eastAsia" w:ascii="仿宋_GB2312" w:eastAsia="仿宋_GB2312" w:hAnsiTheme="minorEastAsia"/>
          <w:sz w:val="28"/>
          <w:szCs w:val="28"/>
        </w:rPr>
        <w:t>更好地解决</w:t>
      </w:r>
      <w:r>
        <w:rPr>
          <w:rFonts w:ascii="仿宋_GB2312" w:eastAsia="仿宋_GB2312" w:hAnsiTheme="minorEastAsia"/>
          <w:sz w:val="28"/>
          <w:szCs w:val="28"/>
        </w:rPr>
        <w:t>银质针</w:t>
      </w:r>
      <w:r>
        <w:rPr>
          <w:rFonts w:hint="eastAsia" w:ascii="仿宋_GB2312" w:eastAsia="仿宋_GB2312" w:hAnsiTheme="minorEastAsia"/>
          <w:sz w:val="28"/>
          <w:szCs w:val="28"/>
        </w:rPr>
        <w:t>人才发展面临的困难和问题具有重要意义。</w:t>
      </w:r>
    </w:p>
    <w:p>
      <w:pPr>
        <w:pStyle w:val="11"/>
        <w:numPr>
          <w:ilvl w:val="0"/>
          <w:numId w:val="3"/>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与相关国家标准、行业标准及其他标准，特别是强制性标准的协调性</w:t>
      </w:r>
    </w:p>
    <w:p>
      <w:pPr>
        <w:spacing w:line="56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本标准的编制符合银质针相关的政策法规要求，并以相关标准为依据，与标准要求相一致协调。</w:t>
      </w:r>
    </w:p>
    <w:p>
      <w:pPr>
        <w:pStyle w:val="11"/>
        <w:numPr>
          <w:ilvl w:val="0"/>
          <w:numId w:val="3"/>
        </w:numPr>
        <w:spacing w:line="560" w:lineRule="exact"/>
        <w:ind w:firstLineChars="0"/>
        <w:rPr>
          <w:rFonts w:ascii="黑体" w:hAnsi="黑体" w:eastAsia="黑体"/>
          <w:sz w:val="28"/>
          <w:szCs w:val="28"/>
        </w:rPr>
      </w:pPr>
      <w:r>
        <w:rPr>
          <w:rFonts w:hint="eastAsia" w:ascii="黑体" w:hAnsi="黑体" w:eastAsia="黑体"/>
          <w:sz w:val="28"/>
          <w:szCs w:val="28"/>
        </w:rPr>
        <w:t>重大意见分歧的处理依据和结果</w:t>
      </w:r>
    </w:p>
    <w:p>
      <w:pPr>
        <w:pStyle w:val="11"/>
        <w:spacing w:line="560" w:lineRule="exact"/>
        <w:ind w:left="720" w:firstLine="0" w:firstLineChars="0"/>
        <w:jc w:val="left"/>
        <w:rPr>
          <w:rFonts w:ascii="仿宋_GB2312" w:eastAsia="仿宋_GB2312" w:hAnsiTheme="minorEastAsia"/>
          <w:sz w:val="28"/>
          <w:szCs w:val="28"/>
        </w:rPr>
      </w:pPr>
      <w:r>
        <w:rPr>
          <w:rFonts w:hint="eastAsia" w:ascii="仿宋_GB2312" w:eastAsia="仿宋_GB2312" w:hAnsiTheme="minorEastAsia"/>
          <w:sz w:val="28"/>
          <w:szCs w:val="28"/>
        </w:rPr>
        <w:t>无。</w:t>
      </w:r>
    </w:p>
    <w:p>
      <w:pPr>
        <w:pStyle w:val="11"/>
        <w:numPr>
          <w:ilvl w:val="0"/>
          <w:numId w:val="3"/>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贯彻标准的要求和措施建议</w:t>
      </w:r>
    </w:p>
    <w:p>
      <w:pPr>
        <w:spacing w:line="56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本标准发布后，对广西省中医药学会银质针专业委员会及贵州省中西医结合学会银质针专业委员会进行宣贯及培训。</w:t>
      </w:r>
      <w:r>
        <w:rPr>
          <w:rFonts w:ascii="仿宋_GB2312" w:eastAsia="仿宋_GB2312" w:hAnsiTheme="minorEastAsia"/>
          <w:sz w:val="28"/>
          <w:szCs w:val="28"/>
        </w:rPr>
        <w:t xml:space="preserve"> </w:t>
      </w:r>
    </w:p>
    <w:p>
      <w:pPr>
        <w:spacing w:line="560" w:lineRule="exact"/>
        <w:ind w:right="480"/>
        <w:jc w:val="right"/>
        <w:rPr>
          <w:rFonts w:ascii="仿宋_GB2312" w:eastAsia="仿宋_GB2312" w:hAnsiTheme="minorEastAsia"/>
          <w:sz w:val="28"/>
          <w:szCs w:val="28"/>
        </w:rPr>
      </w:pPr>
    </w:p>
    <w:p>
      <w:pPr>
        <w:spacing w:line="560" w:lineRule="exact"/>
        <w:ind w:right="480"/>
        <w:jc w:val="right"/>
        <w:rPr>
          <w:rFonts w:ascii="仿宋_GB2312" w:eastAsia="仿宋_GB2312" w:hAnsiTheme="minorEastAsia"/>
          <w:sz w:val="28"/>
          <w:szCs w:val="28"/>
        </w:rPr>
      </w:pPr>
    </w:p>
    <w:p>
      <w:pPr>
        <w:spacing w:line="560" w:lineRule="exact"/>
        <w:ind w:right="480"/>
        <w:jc w:val="right"/>
        <w:rPr>
          <w:rFonts w:ascii="仿宋_GB2312" w:eastAsia="仿宋_GB2312" w:hAnsiTheme="minorEastAsia"/>
          <w:sz w:val="28"/>
          <w:szCs w:val="28"/>
        </w:rPr>
      </w:pPr>
      <w:r>
        <w:rPr>
          <w:rFonts w:hint="eastAsia" w:ascii="仿宋_GB2312" w:eastAsia="仿宋_GB2312" w:hAnsiTheme="minorEastAsia"/>
          <w:sz w:val="28"/>
          <w:szCs w:val="28"/>
        </w:rPr>
        <w:t xml:space="preserve">     标准编制工作组</w:t>
      </w:r>
    </w:p>
    <w:p>
      <w:pPr>
        <w:spacing w:line="560" w:lineRule="exact"/>
        <w:jc w:val="center"/>
        <w:rPr>
          <w:rFonts w:eastAsia="仿宋_GB2312"/>
        </w:rPr>
      </w:pPr>
      <w:r>
        <w:rPr>
          <w:rFonts w:hint="eastAsia" w:ascii="仿宋_GB2312" w:eastAsia="仿宋_GB2312" w:hAnsiTheme="minorEastAsia"/>
          <w:sz w:val="28"/>
          <w:szCs w:val="28"/>
        </w:rPr>
        <w:t xml:space="preserve">                                    2024年4月22日  </w:t>
      </w:r>
    </w:p>
    <w:sectPr>
      <w:footerReference r:id="rId3" w:type="default"/>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14780"/>
    </w:sdtPr>
    <w:sdtContent>
      <w:p>
        <w:pPr>
          <w:pStyle w:val="4"/>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52706D"/>
    <w:multiLevelType w:val="multilevel"/>
    <w:tmpl w:val="1652706D"/>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1">
    <w:nsid w:val="367B58F7"/>
    <w:multiLevelType w:val="multilevel"/>
    <w:tmpl w:val="367B58F7"/>
    <w:lvl w:ilvl="0" w:tentative="0">
      <w:start w:val="2"/>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02D4357"/>
    <w:multiLevelType w:val="multilevel"/>
    <w:tmpl w:val="402D4357"/>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3">
    <w:nsid w:val="533863A3"/>
    <w:multiLevelType w:val="multilevel"/>
    <w:tmpl w:val="533863A3"/>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4">
    <w:nsid w:val="60B12950"/>
    <w:multiLevelType w:val="multilevel"/>
    <w:tmpl w:val="60B12950"/>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25525A2"/>
    <w:multiLevelType w:val="multilevel"/>
    <w:tmpl w:val="625525A2"/>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5YzgxZDFmMDc4Y2E5NDQ5NWZlMDliYzNjZWE0NmMifQ=="/>
  </w:docVars>
  <w:rsids>
    <w:rsidRoot w:val="001B3A00"/>
    <w:rsid w:val="00000D0D"/>
    <w:rsid w:val="00004A80"/>
    <w:rsid w:val="00004D6D"/>
    <w:rsid w:val="00011307"/>
    <w:rsid w:val="0001388D"/>
    <w:rsid w:val="000154B2"/>
    <w:rsid w:val="000164D8"/>
    <w:rsid w:val="00020250"/>
    <w:rsid w:val="000244A5"/>
    <w:rsid w:val="000258BF"/>
    <w:rsid w:val="00025930"/>
    <w:rsid w:val="00025B1B"/>
    <w:rsid w:val="00030B2F"/>
    <w:rsid w:val="000339CE"/>
    <w:rsid w:val="000345D5"/>
    <w:rsid w:val="00036401"/>
    <w:rsid w:val="00041D4F"/>
    <w:rsid w:val="00043A31"/>
    <w:rsid w:val="00044CEA"/>
    <w:rsid w:val="00051352"/>
    <w:rsid w:val="00056F34"/>
    <w:rsid w:val="00064884"/>
    <w:rsid w:val="00064F5B"/>
    <w:rsid w:val="00065323"/>
    <w:rsid w:val="00066512"/>
    <w:rsid w:val="00067D9A"/>
    <w:rsid w:val="000706E1"/>
    <w:rsid w:val="00071535"/>
    <w:rsid w:val="000737B8"/>
    <w:rsid w:val="00073F1A"/>
    <w:rsid w:val="000775EC"/>
    <w:rsid w:val="00083B5F"/>
    <w:rsid w:val="00085E9C"/>
    <w:rsid w:val="0009048A"/>
    <w:rsid w:val="00093C8A"/>
    <w:rsid w:val="000956CB"/>
    <w:rsid w:val="000975F3"/>
    <w:rsid w:val="000A13B3"/>
    <w:rsid w:val="000A2F40"/>
    <w:rsid w:val="000A311B"/>
    <w:rsid w:val="000A4F00"/>
    <w:rsid w:val="000C0D5F"/>
    <w:rsid w:val="000C26B5"/>
    <w:rsid w:val="000C2DC9"/>
    <w:rsid w:val="000C5CE5"/>
    <w:rsid w:val="000C5FBA"/>
    <w:rsid w:val="000C65FA"/>
    <w:rsid w:val="000E2C08"/>
    <w:rsid w:val="000E3DE1"/>
    <w:rsid w:val="000E681E"/>
    <w:rsid w:val="000E78B2"/>
    <w:rsid w:val="000F4B30"/>
    <w:rsid w:val="000F4F56"/>
    <w:rsid w:val="000F518B"/>
    <w:rsid w:val="000F79F1"/>
    <w:rsid w:val="00100968"/>
    <w:rsid w:val="001016D7"/>
    <w:rsid w:val="0010567D"/>
    <w:rsid w:val="00106531"/>
    <w:rsid w:val="00114234"/>
    <w:rsid w:val="00116145"/>
    <w:rsid w:val="00116176"/>
    <w:rsid w:val="00116BC5"/>
    <w:rsid w:val="00116E3D"/>
    <w:rsid w:val="00117305"/>
    <w:rsid w:val="00117416"/>
    <w:rsid w:val="00121816"/>
    <w:rsid w:val="001218B0"/>
    <w:rsid w:val="00121A7C"/>
    <w:rsid w:val="00122504"/>
    <w:rsid w:val="00122612"/>
    <w:rsid w:val="00123333"/>
    <w:rsid w:val="00123BC0"/>
    <w:rsid w:val="00125243"/>
    <w:rsid w:val="00125764"/>
    <w:rsid w:val="00125B77"/>
    <w:rsid w:val="001265A3"/>
    <w:rsid w:val="0012783D"/>
    <w:rsid w:val="00130155"/>
    <w:rsid w:val="0013685F"/>
    <w:rsid w:val="00140024"/>
    <w:rsid w:val="00140510"/>
    <w:rsid w:val="00140755"/>
    <w:rsid w:val="001438E4"/>
    <w:rsid w:val="00143B00"/>
    <w:rsid w:val="00145DA7"/>
    <w:rsid w:val="00147934"/>
    <w:rsid w:val="00151A2B"/>
    <w:rsid w:val="0015304E"/>
    <w:rsid w:val="00153957"/>
    <w:rsid w:val="00155C43"/>
    <w:rsid w:val="00156FEE"/>
    <w:rsid w:val="00157A07"/>
    <w:rsid w:val="00157A9F"/>
    <w:rsid w:val="00157BEB"/>
    <w:rsid w:val="00160259"/>
    <w:rsid w:val="001608A1"/>
    <w:rsid w:val="00160BF9"/>
    <w:rsid w:val="00162732"/>
    <w:rsid w:val="0016696E"/>
    <w:rsid w:val="00173BB8"/>
    <w:rsid w:val="00173C38"/>
    <w:rsid w:val="0018557D"/>
    <w:rsid w:val="00185BBF"/>
    <w:rsid w:val="001902DC"/>
    <w:rsid w:val="001906B9"/>
    <w:rsid w:val="0019109B"/>
    <w:rsid w:val="001916B6"/>
    <w:rsid w:val="0019276C"/>
    <w:rsid w:val="00194F1E"/>
    <w:rsid w:val="00197E43"/>
    <w:rsid w:val="001A14D1"/>
    <w:rsid w:val="001A398D"/>
    <w:rsid w:val="001A3F76"/>
    <w:rsid w:val="001A69DE"/>
    <w:rsid w:val="001B0241"/>
    <w:rsid w:val="001B3A00"/>
    <w:rsid w:val="001B579D"/>
    <w:rsid w:val="001B72D3"/>
    <w:rsid w:val="001B7DF2"/>
    <w:rsid w:val="001C2287"/>
    <w:rsid w:val="001C23DC"/>
    <w:rsid w:val="001C3CAA"/>
    <w:rsid w:val="001D35A2"/>
    <w:rsid w:val="001D5C3E"/>
    <w:rsid w:val="001D5DFD"/>
    <w:rsid w:val="001D6B1B"/>
    <w:rsid w:val="001E0D58"/>
    <w:rsid w:val="001E1711"/>
    <w:rsid w:val="001E31EA"/>
    <w:rsid w:val="001E6421"/>
    <w:rsid w:val="001F360B"/>
    <w:rsid w:val="001F56DE"/>
    <w:rsid w:val="00204164"/>
    <w:rsid w:val="0021454D"/>
    <w:rsid w:val="0021470B"/>
    <w:rsid w:val="002152E8"/>
    <w:rsid w:val="00220402"/>
    <w:rsid w:val="00225592"/>
    <w:rsid w:val="00235145"/>
    <w:rsid w:val="00240ACB"/>
    <w:rsid w:val="0024113A"/>
    <w:rsid w:val="002423F2"/>
    <w:rsid w:val="002531F2"/>
    <w:rsid w:val="00253ED4"/>
    <w:rsid w:val="00257A86"/>
    <w:rsid w:val="0026329C"/>
    <w:rsid w:val="0026351B"/>
    <w:rsid w:val="00270B03"/>
    <w:rsid w:val="002755D5"/>
    <w:rsid w:val="002756F4"/>
    <w:rsid w:val="00275FB5"/>
    <w:rsid w:val="0028773E"/>
    <w:rsid w:val="00291055"/>
    <w:rsid w:val="002937EC"/>
    <w:rsid w:val="002958D1"/>
    <w:rsid w:val="002A04F6"/>
    <w:rsid w:val="002A204E"/>
    <w:rsid w:val="002A2C0E"/>
    <w:rsid w:val="002A6564"/>
    <w:rsid w:val="002B6E9D"/>
    <w:rsid w:val="002C07A9"/>
    <w:rsid w:val="002C2609"/>
    <w:rsid w:val="002C2A72"/>
    <w:rsid w:val="002C3FD3"/>
    <w:rsid w:val="002C61D8"/>
    <w:rsid w:val="002D2AD8"/>
    <w:rsid w:val="002D634D"/>
    <w:rsid w:val="002D76C4"/>
    <w:rsid w:val="002E494A"/>
    <w:rsid w:val="002E6003"/>
    <w:rsid w:val="002F2575"/>
    <w:rsid w:val="002F3F4E"/>
    <w:rsid w:val="002F6BE9"/>
    <w:rsid w:val="002F7079"/>
    <w:rsid w:val="0030184D"/>
    <w:rsid w:val="00302AC8"/>
    <w:rsid w:val="003064B2"/>
    <w:rsid w:val="00306679"/>
    <w:rsid w:val="00312D3E"/>
    <w:rsid w:val="00313B90"/>
    <w:rsid w:val="003160B3"/>
    <w:rsid w:val="00320211"/>
    <w:rsid w:val="003207BF"/>
    <w:rsid w:val="00321521"/>
    <w:rsid w:val="00324111"/>
    <w:rsid w:val="00325433"/>
    <w:rsid w:val="00332B4C"/>
    <w:rsid w:val="00336D5C"/>
    <w:rsid w:val="0033789A"/>
    <w:rsid w:val="00342C2F"/>
    <w:rsid w:val="0034366C"/>
    <w:rsid w:val="00343DD8"/>
    <w:rsid w:val="00344B36"/>
    <w:rsid w:val="0035190A"/>
    <w:rsid w:val="0035411E"/>
    <w:rsid w:val="00356BFB"/>
    <w:rsid w:val="00357BF4"/>
    <w:rsid w:val="00361FB7"/>
    <w:rsid w:val="00364285"/>
    <w:rsid w:val="0036543D"/>
    <w:rsid w:val="003666F2"/>
    <w:rsid w:val="00375399"/>
    <w:rsid w:val="00376AB1"/>
    <w:rsid w:val="003777E5"/>
    <w:rsid w:val="00380553"/>
    <w:rsid w:val="00380D61"/>
    <w:rsid w:val="003846C7"/>
    <w:rsid w:val="00397E7C"/>
    <w:rsid w:val="003A1094"/>
    <w:rsid w:val="003A130B"/>
    <w:rsid w:val="003A20D8"/>
    <w:rsid w:val="003A2BE6"/>
    <w:rsid w:val="003A6757"/>
    <w:rsid w:val="003B04AB"/>
    <w:rsid w:val="003B0FF5"/>
    <w:rsid w:val="003B4D09"/>
    <w:rsid w:val="003B52F5"/>
    <w:rsid w:val="003D4B1F"/>
    <w:rsid w:val="003D5F5A"/>
    <w:rsid w:val="003D6BBE"/>
    <w:rsid w:val="003E0674"/>
    <w:rsid w:val="003E15BF"/>
    <w:rsid w:val="003E36DB"/>
    <w:rsid w:val="003E4B20"/>
    <w:rsid w:val="003E6110"/>
    <w:rsid w:val="003E61CF"/>
    <w:rsid w:val="003F30E1"/>
    <w:rsid w:val="003F62BC"/>
    <w:rsid w:val="003F69A4"/>
    <w:rsid w:val="00401D4E"/>
    <w:rsid w:val="0040577A"/>
    <w:rsid w:val="00405963"/>
    <w:rsid w:val="00406F03"/>
    <w:rsid w:val="00407D22"/>
    <w:rsid w:val="004108A4"/>
    <w:rsid w:val="00413689"/>
    <w:rsid w:val="00422350"/>
    <w:rsid w:val="00430ED4"/>
    <w:rsid w:val="004364AA"/>
    <w:rsid w:val="00441EBF"/>
    <w:rsid w:val="00451F9D"/>
    <w:rsid w:val="00452144"/>
    <w:rsid w:val="00454316"/>
    <w:rsid w:val="0045682B"/>
    <w:rsid w:val="00456B16"/>
    <w:rsid w:val="004576E0"/>
    <w:rsid w:val="00460222"/>
    <w:rsid w:val="004641CE"/>
    <w:rsid w:val="00467CD9"/>
    <w:rsid w:val="00471537"/>
    <w:rsid w:val="0047241D"/>
    <w:rsid w:val="00474BB2"/>
    <w:rsid w:val="00477525"/>
    <w:rsid w:val="00477921"/>
    <w:rsid w:val="004834B0"/>
    <w:rsid w:val="0048413A"/>
    <w:rsid w:val="0048533A"/>
    <w:rsid w:val="00485FAF"/>
    <w:rsid w:val="00492F16"/>
    <w:rsid w:val="00494569"/>
    <w:rsid w:val="004A082C"/>
    <w:rsid w:val="004A21CA"/>
    <w:rsid w:val="004A2F8B"/>
    <w:rsid w:val="004A6901"/>
    <w:rsid w:val="004B00BC"/>
    <w:rsid w:val="004B4094"/>
    <w:rsid w:val="004B4BB1"/>
    <w:rsid w:val="004C042A"/>
    <w:rsid w:val="004C17E8"/>
    <w:rsid w:val="004C4430"/>
    <w:rsid w:val="004C478C"/>
    <w:rsid w:val="004C5342"/>
    <w:rsid w:val="004C63F2"/>
    <w:rsid w:val="004D1BDD"/>
    <w:rsid w:val="004D25BC"/>
    <w:rsid w:val="004D3487"/>
    <w:rsid w:val="004D3862"/>
    <w:rsid w:val="004D5FD3"/>
    <w:rsid w:val="004E7259"/>
    <w:rsid w:val="004E77CA"/>
    <w:rsid w:val="004E7FBD"/>
    <w:rsid w:val="004F093C"/>
    <w:rsid w:val="004F0AEF"/>
    <w:rsid w:val="004F6318"/>
    <w:rsid w:val="004F6C1B"/>
    <w:rsid w:val="0050153E"/>
    <w:rsid w:val="00505FDD"/>
    <w:rsid w:val="00507E97"/>
    <w:rsid w:val="00510F5C"/>
    <w:rsid w:val="00511C91"/>
    <w:rsid w:val="00515084"/>
    <w:rsid w:val="005155B9"/>
    <w:rsid w:val="00515B74"/>
    <w:rsid w:val="00521ADD"/>
    <w:rsid w:val="00525FCB"/>
    <w:rsid w:val="00527DCB"/>
    <w:rsid w:val="00532BBD"/>
    <w:rsid w:val="005354E2"/>
    <w:rsid w:val="00535928"/>
    <w:rsid w:val="00536ED5"/>
    <w:rsid w:val="00537B3F"/>
    <w:rsid w:val="00537CFE"/>
    <w:rsid w:val="00540EB9"/>
    <w:rsid w:val="00542BC3"/>
    <w:rsid w:val="00550B19"/>
    <w:rsid w:val="00551D5C"/>
    <w:rsid w:val="0055253A"/>
    <w:rsid w:val="00556581"/>
    <w:rsid w:val="00560370"/>
    <w:rsid w:val="00566815"/>
    <w:rsid w:val="00567A98"/>
    <w:rsid w:val="0057221A"/>
    <w:rsid w:val="005810F2"/>
    <w:rsid w:val="00583C1F"/>
    <w:rsid w:val="005873D6"/>
    <w:rsid w:val="00587E6D"/>
    <w:rsid w:val="00590917"/>
    <w:rsid w:val="005920E5"/>
    <w:rsid w:val="00594F7E"/>
    <w:rsid w:val="005A1658"/>
    <w:rsid w:val="005A4732"/>
    <w:rsid w:val="005B2749"/>
    <w:rsid w:val="005B452B"/>
    <w:rsid w:val="005B4C72"/>
    <w:rsid w:val="005B4F49"/>
    <w:rsid w:val="005C0856"/>
    <w:rsid w:val="005C2784"/>
    <w:rsid w:val="005C37C3"/>
    <w:rsid w:val="005C494E"/>
    <w:rsid w:val="005C7672"/>
    <w:rsid w:val="005D0D85"/>
    <w:rsid w:val="005D19D7"/>
    <w:rsid w:val="005D44CB"/>
    <w:rsid w:val="005D480B"/>
    <w:rsid w:val="005D71D0"/>
    <w:rsid w:val="005E0E02"/>
    <w:rsid w:val="005E191E"/>
    <w:rsid w:val="005E28BB"/>
    <w:rsid w:val="005E47C7"/>
    <w:rsid w:val="005F1EB8"/>
    <w:rsid w:val="00600853"/>
    <w:rsid w:val="006015DB"/>
    <w:rsid w:val="006050DA"/>
    <w:rsid w:val="00605760"/>
    <w:rsid w:val="00610154"/>
    <w:rsid w:val="00610C93"/>
    <w:rsid w:val="006145CB"/>
    <w:rsid w:val="00615816"/>
    <w:rsid w:val="006178A9"/>
    <w:rsid w:val="00621689"/>
    <w:rsid w:val="00621FD9"/>
    <w:rsid w:val="0062627C"/>
    <w:rsid w:val="006268C9"/>
    <w:rsid w:val="00626A3B"/>
    <w:rsid w:val="00626B68"/>
    <w:rsid w:val="0062788F"/>
    <w:rsid w:val="00635E95"/>
    <w:rsid w:val="0063626E"/>
    <w:rsid w:val="006476F8"/>
    <w:rsid w:val="00650970"/>
    <w:rsid w:val="00651546"/>
    <w:rsid w:val="0065197E"/>
    <w:rsid w:val="0065796B"/>
    <w:rsid w:val="006625B0"/>
    <w:rsid w:val="006644DC"/>
    <w:rsid w:val="006717F6"/>
    <w:rsid w:val="00671F74"/>
    <w:rsid w:val="00675B7A"/>
    <w:rsid w:val="0067684F"/>
    <w:rsid w:val="0068077F"/>
    <w:rsid w:val="00681CD0"/>
    <w:rsid w:val="00682408"/>
    <w:rsid w:val="00682E04"/>
    <w:rsid w:val="00690C53"/>
    <w:rsid w:val="00691FF5"/>
    <w:rsid w:val="00692660"/>
    <w:rsid w:val="0069620E"/>
    <w:rsid w:val="00696A91"/>
    <w:rsid w:val="006A00FB"/>
    <w:rsid w:val="006A06BD"/>
    <w:rsid w:val="006B1488"/>
    <w:rsid w:val="006B24B9"/>
    <w:rsid w:val="006C661A"/>
    <w:rsid w:val="006C6644"/>
    <w:rsid w:val="006D2008"/>
    <w:rsid w:val="006D32AD"/>
    <w:rsid w:val="006D71E6"/>
    <w:rsid w:val="006F4C0F"/>
    <w:rsid w:val="006F626C"/>
    <w:rsid w:val="006F76D9"/>
    <w:rsid w:val="006F7A76"/>
    <w:rsid w:val="00702BA2"/>
    <w:rsid w:val="00710A0E"/>
    <w:rsid w:val="00711FA6"/>
    <w:rsid w:val="00717004"/>
    <w:rsid w:val="00721E3F"/>
    <w:rsid w:val="00723A59"/>
    <w:rsid w:val="00724AB4"/>
    <w:rsid w:val="00724C89"/>
    <w:rsid w:val="0073129F"/>
    <w:rsid w:val="00734BC5"/>
    <w:rsid w:val="00736334"/>
    <w:rsid w:val="0073640F"/>
    <w:rsid w:val="00736E04"/>
    <w:rsid w:val="007424DD"/>
    <w:rsid w:val="00742FD5"/>
    <w:rsid w:val="007450C8"/>
    <w:rsid w:val="007457D3"/>
    <w:rsid w:val="0074646A"/>
    <w:rsid w:val="007573C0"/>
    <w:rsid w:val="00757821"/>
    <w:rsid w:val="0076236A"/>
    <w:rsid w:val="0076362E"/>
    <w:rsid w:val="00767DE8"/>
    <w:rsid w:val="00775BAD"/>
    <w:rsid w:val="0077636F"/>
    <w:rsid w:val="007764C0"/>
    <w:rsid w:val="00776E4B"/>
    <w:rsid w:val="007770CA"/>
    <w:rsid w:val="00780E31"/>
    <w:rsid w:val="00783AF8"/>
    <w:rsid w:val="00786AA7"/>
    <w:rsid w:val="00787771"/>
    <w:rsid w:val="00796FDF"/>
    <w:rsid w:val="007A1EA9"/>
    <w:rsid w:val="007B28AC"/>
    <w:rsid w:val="007B4259"/>
    <w:rsid w:val="007B48B8"/>
    <w:rsid w:val="007B554C"/>
    <w:rsid w:val="007B6EE7"/>
    <w:rsid w:val="007B7D9F"/>
    <w:rsid w:val="007C1C21"/>
    <w:rsid w:val="007C2861"/>
    <w:rsid w:val="007C4C6A"/>
    <w:rsid w:val="007C5C2F"/>
    <w:rsid w:val="007C5FB7"/>
    <w:rsid w:val="007D47ED"/>
    <w:rsid w:val="007D55BA"/>
    <w:rsid w:val="007D590A"/>
    <w:rsid w:val="007D6671"/>
    <w:rsid w:val="007D6C7D"/>
    <w:rsid w:val="007D6F84"/>
    <w:rsid w:val="007E150C"/>
    <w:rsid w:val="007E40F2"/>
    <w:rsid w:val="007F103F"/>
    <w:rsid w:val="007F35BB"/>
    <w:rsid w:val="007F3AE0"/>
    <w:rsid w:val="007F4A55"/>
    <w:rsid w:val="0080186D"/>
    <w:rsid w:val="00802A86"/>
    <w:rsid w:val="008051A1"/>
    <w:rsid w:val="008067BB"/>
    <w:rsid w:val="00810FE7"/>
    <w:rsid w:val="00812621"/>
    <w:rsid w:val="008131D5"/>
    <w:rsid w:val="008146CD"/>
    <w:rsid w:val="008179FA"/>
    <w:rsid w:val="0082179D"/>
    <w:rsid w:val="008259A6"/>
    <w:rsid w:val="008264B9"/>
    <w:rsid w:val="008270FC"/>
    <w:rsid w:val="00830190"/>
    <w:rsid w:val="00830E54"/>
    <w:rsid w:val="00831020"/>
    <w:rsid w:val="008374E1"/>
    <w:rsid w:val="00844F08"/>
    <w:rsid w:val="008452B7"/>
    <w:rsid w:val="00853343"/>
    <w:rsid w:val="00855796"/>
    <w:rsid w:val="00855C69"/>
    <w:rsid w:val="00860D62"/>
    <w:rsid w:val="0086240E"/>
    <w:rsid w:val="008643B9"/>
    <w:rsid w:val="00865A97"/>
    <w:rsid w:val="00872EB4"/>
    <w:rsid w:val="00873A84"/>
    <w:rsid w:val="00877C20"/>
    <w:rsid w:val="00883FB5"/>
    <w:rsid w:val="00887984"/>
    <w:rsid w:val="00892089"/>
    <w:rsid w:val="0089219D"/>
    <w:rsid w:val="00896788"/>
    <w:rsid w:val="008A02A6"/>
    <w:rsid w:val="008A34F0"/>
    <w:rsid w:val="008A7F2D"/>
    <w:rsid w:val="008B154D"/>
    <w:rsid w:val="008B1900"/>
    <w:rsid w:val="008B1B60"/>
    <w:rsid w:val="008B56D8"/>
    <w:rsid w:val="008B5B8F"/>
    <w:rsid w:val="008C1083"/>
    <w:rsid w:val="008C33B9"/>
    <w:rsid w:val="008C467C"/>
    <w:rsid w:val="008C67D5"/>
    <w:rsid w:val="008C6FFB"/>
    <w:rsid w:val="008C78D4"/>
    <w:rsid w:val="008D5B3F"/>
    <w:rsid w:val="008D6E44"/>
    <w:rsid w:val="008E0039"/>
    <w:rsid w:val="008E1FC3"/>
    <w:rsid w:val="008E28AC"/>
    <w:rsid w:val="008F2267"/>
    <w:rsid w:val="008F6B42"/>
    <w:rsid w:val="008F73E6"/>
    <w:rsid w:val="0090052D"/>
    <w:rsid w:val="00902FA7"/>
    <w:rsid w:val="00903893"/>
    <w:rsid w:val="00912C1F"/>
    <w:rsid w:val="00913750"/>
    <w:rsid w:val="00921110"/>
    <w:rsid w:val="00921141"/>
    <w:rsid w:val="00927355"/>
    <w:rsid w:val="00930338"/>
    <w:rsid w:val="00940D9C"/>
    <w:rsid w:val="00946C12"/>
    <w:rsid w:val="00952D5B"/>
    <w:rsid w:val="0096464D"/>
    <w:rsid w:val="009662DE"/>
    <w:rsid w:val="00966DA6"/>
    <w:rsid w:val="00967460"/>
    <w:rsid w:val="00972795"/>
    <w:rsid w:val="00972B81"/>
    <w:rsid w:val="00972D91"/>
    <w:rsid w:val="00974425"/>
    <w:rsid w:val="00977A56"/>
    <w:rsid w:val="0098657C"/>
    <w:rsid w:val="0098776C"/>
    <w:rsid w:val="00987868"/>
    <w:rsid w:val="0099030D"/>
    <w:rsid w:val="0099089A"/>
    <w:rsid w:val="00993138"/>
    <w:rsid w:val="009972B4"/>
    <w:rsid w:val="009A11F4"/>
    <w:rsid w:val="009A185C"/>
    <w:rsid w:val="009A21E9"/>
    <w:rsid w:val="009A3401"/>
    <w:rsid w:val="009A513D"/>
    <w:rsid w:val="009B081B"/>
    <w:rsid w:val="009B1303"/>
    <w:rsid w:val="009B4610"/>
    <w:rsid w:val="009B6E34"/>
    <w:rsid w:val="009B7267"/>
    <w:rsid w:val="009C0571"/>
    <w:rsid w:val="009C0793"/>
    <w:rsid w:val="009C2116"/>
    <w:rsid w:val="009C536F"/>
    <w:rsid w:val="009C5936"/>
    <w:rsid w:val="009C6FDD"/>
    <w:rsid w:val="009D0407"/>
    <w:rsid w:val="009D0A8B"/>
    <w:rsid w:val="009D14C4"/>
    <w:rsid w:val="009D23B3"/>
    <w:rsid w:val="009D5BAF"/>
    <w:rsid w:val="009D7B50"/>
    <w:rsid w:val="009E0AA7"/>
    <w:rsid w:val="009E138A"/>
    <w:rsid w:val="009E17A6"/>
    <w:rsid w:val="009E3B0D"/>
    <w:rsid w:val="009E5ACB"/>
    <w:rsid w:val="009E7ACD"/>
    <w:rsid w:val="009E7BD9"/>
    <w:rsid w:val="009F33EA"/>
    <w:rsid w:val="009F351E"/>
    <w:rsid w:val="009F6E54"/>
    <w:rsid w:val="00A05037"/>
    <w:rsid w:val="00A11720"/>
    <w:rsid w:val="00A154C8"/>
    <w:rsid w:val="00A15B64"/>
    <w:rsid w:val="00A16132"/>
    <w:rsid w:val="00A17BDF"/>
    <w:rsid w:val="00A20EEC"/>
    <w:rsid w:val="00A21547"/>
    <w:rsid w:val="00A227DC"/>
    <w:rsid w:val="00A246A4"/>
    <w:rsid w:val="00A32548"/>
    <w:rsid w:val="00A369B6"/>
    <w:rsid w:val="00A42A09"/>
    <w:rsid w:val="00A43264"/>
    <w:rsid w:val="00A459A8"/>
    <w:rsid w:val="00A46521"/>
    <w:rsid w:val="00A46AF9"/>
    <w:rsid w:val="00A5113B"/>
    <w:rsid w:val="00A5497F"/>
    <w:rsid w:val="00A61E77"/>
    <w:rsid w:val="00A62022"/>
    <w:rsid w:val="00A71047"/>
    <w:rsid w:val="00A77C77"/>
    <w:rsid w:val="00A814C8"/>
    <w:rsid w:val="00A831AF"/>
    <w:rsid w:val="00A84003"/>
    <w:rsid w:val="00A87323"/>
    <w:rsid w:val="00A87E03"/>
    <w:rsid w:val="00A93C8F"/>
    <w:rsid w:val="00A950C1"/>
    <w:rsid w:val="00A95286"/>
    <w:rsid w:val="00AA1C9D"/>
    <w:rsid w:val="00AA3913"/>
    <w:rsid w:val="00AA3F25"/>
    <w:rsid w:val="00AA51A9"/>
    <w:rsid w:val="00AA5FA6"/>
    <w:rsid w:val="00AA6538"/>
    <w:rsid w:val="00AA71A6"/>
    <w:rsid w:val="00AB2B6B"/>
    <w:rsid w:val="00AB2EBE"/>
    <w:rsid w:val="00AB2F7F"/>
    <w:rsid w:val="00AC399B"/>
    <w:rsid w:val="00AC3D27"/>
    <w:rsid w:val="00AC61C9"/>
    <w:rsid w:val="00AC6300"/>
    <w:rsid w:val="00AC6F38"/>
    <w:rsid w:val="00AD3129"/>
    <w:rsid w:val="00AD4B61"/>
    <w:rsid w:val="00AD6812"/>
    <w:rsid w:val="00AD6A8B"/>
    <w:rsid w:val="00AE53AD"/>
    <w:rsid w:val="00AE7564"/>
    <w:rsid w:val="00AF0560"/>
    <w:rsid w:val="00B01EF2"/>
    <w:rsid w:val="00B032FD"/>
    <w:rsid w:val="00B047A0"/>
    <w:rsid w:val="00B10CBC"/>
    <w:rsid w:val="00B10F48"/>
    <w:rsid w:val="00B12C89"/>
    <w:rsid w:val="00B13A7A"/>
    <w:rsid w:val="00B15E0A"/>
    <w:rsid w:val="00B21887"/>
    <w:rsid w:val="00B253FA"/>
    <w:rsid w:val="00B25711"/>
    <w:rsid w:val="00B25E8E"/>
    <w:rsid w:val="00B26349"/>
    <w:rsid w:val="00B273C9"/>
    <w:rsid w:val="00B3180F"/>
    <w:rsid w:val="00B32CE6"/>
    <w:rsid w:val="00B32E24"/>
    <w:rsid w:val="00B35F02"/>
    <w:rsid w:val="00B40444"/>
    <w:rsid w:val="00B40FBF"/>
    <w:rsid w:val="00B421BA"/>
    <w:rsid w:val="00B43265"/>
    <w:rsid w:val="00B43871"/>
    <w:rsid w:val="00B45443"/>
    <w:rsid w:val="00B51722"/>
    <w:rsid w:val="00B565C6"/>
    <w:rsid w:val="00B6126D"/>
    <w:rsid w:val="00B61FFA"/>
    <w:rsid w:val="00B65F05"/>
    <w:rsid w:val="00B66201"/>
    <w:rsid w:val="00B72EBB"/>
    <w:rsid w:val="00B75603"/>
    <w:rsid w:val="00B8131D"/>
    <w:rsid w:val="00B81484"/>
    <w:rsid w:val="00B81DB2"/>
    <w:rsid w:val="00B83EC0"/>
    <w:rsid w:val="00B86DAE"/>
    <w:rsid w:val="00B90250"/>
    <w:rsid w:val="00B920FF"/>
    <w:rsid w:val="00B9414A"/>
    <w:rsid w:val="00B949D3"/>
    <w:rsid w:val="00B9533E"/>
    <w:rsid w:val="00BA1D31"/>
    <w:rsid w:val="00BA1D4E"/>
    <w:rsid w:val="00BA236F"/>
    <w:rsid w:val="00BA2F9D"/>
    <w:rsid w:val="00BA3C88"/>
    <w:rsid w:val="00BA4034"/>
    <w:rsid w:val="00BA6BE8"/>
    <w:rsid w:val="00BB36F7"/>
    <w:rsid w:val="00BB3755"/>
    <w:rsid w:val="00BB4163"/>
    <w:rsid w:val="00BB50AC"/>
    <w:rsid w:val="00BB5B60"/>
    <w:rsid w:val="00BC13D3"/>
    <w:rsid w:val="00BC2AC1"/>
    <w:rsid w:val="00BC3D4E"/>
    <w:rsid w:val="00BC5DA1"/>
    <w:rsid w:val="00BC6029"/>
    <w:rsid w:val="00BC667C"/>
    <w:rsid w:val="00BC715B"/>
    <w:rsid w:val="00BD266F"/>
    <w:rsid w:val="00BD5914"/>
    <w:rsid w:val="00BE39C2"/>
    <w:rsid w:val="00BE553B"/>
    <w:rsid w:val="00BE6457"/>
    <w:rsid w:val="00BF08BF"/>
    <w:rsid w:val="00BF6180"/>
    <w:rsid w:val="00C01CD8"/>
    <w:rsid w:val="00C11DA4"/>
    <w:rsid w:val="00C1691E"/>
    <w:rsid w:val="00C218EE"/>
    <w:rsid w:val="00C24BBC"/>
    <w:rsid w:val="00C263E6"/>
    <w:rsid w:val="00C331E2"/>
    <w:rsid w:val="00C35CF7"/>
    <w:rsid w:val="00C360AF"/>
    <w:rsid w:val="00C374A6"/>
    <w:rsid w:val="00C41AB0"/>
    <w:rsid w:val="00C43870"/>
    <w:rsid w:val="00C44B55"/>
    <w:rsid w:val="00C5096E"/>
    <w:rsid w:val="00C525C7"/>
    <w:rsid w:val="00C54627"/>
    <w:rsid w:val="00C54D9D"/>
    <w:rsid w:val="00C71FED"/>
    <w:rsid w:val="00C732AF"/>
    <w:rsid w:val="00C86F51"/>
    <w:rsid w:val="00C941CE"/>
    <w:rsid w:val="00C94D29"/>
    <w:rsid w:val="00C95B7B"/>
    <w:rsid w:val="00C96947"/>
    <w:rsid w:val="00CA5165"/>
    <w:rsid w:val="00CA67A1"/>
    <w:rsid w:val="00CA7975"/>
    <w:rsid w:val="00CB2437"/>
    <w:rsid w:val="00CB33C6"/>
    <w:rsid w:val="00CB5F00"/>
    <w:rsid w:val="00CB5F22"/>
    <w:rsid w:val="00CB67F7"/>
    <w:rsid w:val="00CC3A5C"/>
    <w:rsid w:val="00CC4B6F"/>
    <w:rsid w:val="00CC4C70"/>
    <w:rsid w:val="00CD25FE"/>
    <w:rsid w:val="00CD2762"/>
    <w:rsid w:val="00CD4ADF"/>
    <w:rsid w:val="00CD4CB3"/>
    <w:rsid w:val="00CE0777"/>
    <w:rsid w:val="00CE15C6"/>
    <w:rsid w:val="00CE624B"/>
    <w:rsid w:val="00CF4FC1"/>
    <w:rsid w:val="00D00760"/>
    <w:rsid w:val="00D02030"/>
    <w:rsid w:val="00D1147A"/>
    <w:rsid w:val="00D12DD1"/>
    <w:rsid w:val="00D1356E"/>
    <w:rsid w:val="00D153BF"/>
    <w:rsid w:val="00D15B3D"/>
    <w:rsid w:val="00D161F3"/>
    <w:rsid w:val="00D16383"/>
    <w:rsid w:val="00D16B20"/>
    <w:rsid w:val="00D17842"/>
    <w:rsid w:val="00D23804"/>
    <w:rsid w:val="00D30BDC"/>
    <w:rsid w:val="00D3201A"/>
    <w:rsid w:val="00D32178"/>
    <w:rsid w:val="00D3248A"/>
    <w:rsid w:val="00D32624"/>
    <w:rsid w:val="00D40066"/>
    <w:rsid w:val="00D4397A"/>
    <w:rsid w:val="00D43D14"/>
    <w:rsid w:val="00D445DF"/>
    <w:rsid w:val="00D45D66"/>
    <w:rsid w:val="00D475A2"/>
    <w:rsid w:val="00D47892"/>
    <w:rsid w:val="00D50FBD"/>
    <w:rsid w:val="00D51667"/>
    <w:rsid w:val="00D54E90"/>
    <w:rsid w:val="00D5682C"/>
    <w:rsid w:val="00D57E3F"/>
    <w:rsid w:val="00D64809"/>
    <w:rsid w:val="00D74129"/>
    <w:rsid w:val="00D74E78"/>
    <w:rsid w:val="00D75318"/>
    <w:rsid w:val="00D77A90"/>
    <w:rsid w:val="00D80DFB"/>
    <w:rsid w:val="00D810A2"/>
    <w:rsid w:val="00D82592"/>
    <w:rsid w:val="00DA107D"/>
    <w:rsid w:val="00DA1984"/>
    <w:rsid w:val="00DA1A6F"/>
    <w:rsid w:val="00DA2365"/>
    <w:rsid w:val="00DA3B5B"/>
    <w:rsid w:val="00DB4246"/>
    <w:rsid w:val="00DB4B9B"/>
    <w:rsid w:val="00DB78A7"/>
    <w:rsid w:val="00DC4060"/>
    <w:rsid w:val="00DC6181"/>
    <w:rsid w:val="00DD0367"/>
    <w:rsid w:val="00DE3576"/>
    <w:rsid w:val="00DE394A"/>
    <w:rsid w:val="00DE42E3"/>
    <w:rsid w:val="00DE4E43"/>
    <w:rsid w:val="00DE6CCE"/>
    <w:rsid w:val="00DE7BF6"/>
    <w:rsid w:val="00DF235F"/>
    <w:rsid w:val="00DF45EF"/>
    <w:rsid w:val="00E056A8"/>
    <w:rsid w:val="00E10806"/>
    <w:rsid w:val="00E12646"/>
    <w:rsid w:val="00E14143"/>
    <w:rsid w:val="00E16A0D"/>
    <w:rsid w:val="00E23EFE"/>
    <w:rsid w:val="00E241BF"/>
    <w:rsid w:val="00E24ADB"/>
    <w:rsid w:val="00E3200C"/>
    <w:rsid w:val="00E339EC"/>
    <w:rsid w:val="00E3447F"/>
    <w:rsid w:val="00E34484"/>
    <w:rsid w:val="00E3627C"/>
    <w:rsid w:val="00E377E0"/>
    <w:rsid w:val="00E40B5B"/>
    <w:rsid w:val="00E4103E"/>
    <w:rsid w:val="00E432BC"/>
    <w:rsid w:val="00E46C0C"/>
    <w:rsid w:val="00E53678"/>
    <w:rsid w:val="00E5511F"/>
    <w:rsid w:val="00E5551C"/>
    <w:rsid w:val="00E5678F"/>
    <w:rsid w:val="00E56F47"/>
    <w:rsid w:val="00E65D76"/>
    <w:rsid w:val="00E665D9"/>
    <w:rsid w:val="00E67AD2"/>
    <w:rsid w:val="00E70144"/>
    <w:rsid w:val="00E7090A"/>
    <w:rsid w:val="00E84090"/>
    <w:rsid w:val="00E90330"/>
    <w:rsid w:val="00E91177"/>
    <w:rsid w:val="00E95757"/>
    <w:rsid w:val="00E96048"/>
    <w:rsid w:val="00EA0019"/>
    <w:rsid w:val="00EA1C93"/>
    <w:rsid w:val="00EA1FAB"/>
    <w:rsid w:val="00EA3873"/>
    <w:rsid w:val="00EA3E30"/>
    <w:rsid w:val="00EA4B07"/>
    <w:rsid w:val="00EA669E"/>
    <w:rsid w:val="00EB2A1F"/>
    <w:rsid w:val="00EB49FF"/>
    <w:rsid w:val="00EC21B8"/>
    <w:rsid w:val="00EC331E"/>
    <w:rsid w:val="00EC5BA3"/>
    <w:rsid w:val="00EC5D03"/>
    <w:rsid w:val="00EC76D8"/>
    <w:rsid w:val="00ED3AF2"/>
    <w:rsid w:val="00ED4E8E"/>
    <w:rsid w:val="00ED6BAC"/>
    <w:rsid w:val="00EE08A5"/>
    <w:rsid w:val="00EE0C46"/>
    <w:rsid w:val="00EF1446"/>
    <w:rsid w:val="00EF63BD"/>
    <w:rsid w:val="00F00127"/>
    <w:rsid w:val="00F01005"/>
    <w:rsid w:val="00F035AA"/>
    <w:rsid w:val="00F06EF5"/>
    <w:rsid w:val="00F122F9"/>
    <w:rsid w:val="00F16DFE"/>
    <w:rsid w:val="00F2114C"/>
    <w:rsid w:val="00F2149B"/>
    <w:rsid w:val="00F2538D"/>
    <w:rsid w:val="00F26FD5"/>
    <w:rsid w:val="00F27128"/>
    <w:rsid w:val="00F27C06"/>
    <w:rsid w:val="00F32CFD"/>
    <w:rsid w:val="00F35A48"/>
    <w:rsid w:val="00F36295"/>
    <w:rsid w:val="00F46F0E"/>
    <w:rsid w:val="00F47DAE"/>
    <w:rsid w:val="00F5137D"/>
    <w:rsid w:val="00F521F5"/>
    <w:rsid w:val="00F52AE4"/>
    <w:rsid w:val="00F558C5"/>
    <w:rsid w:val="00F568D7"/>
    <w:rsid w:val="00F61AFC"/>
    <w:rsid w:val="00F6376B"/>
    <w:rsid w:val="00F63E16"/>
    <w:rsid w:val="00F65D08"/>
    <w:rsid w:val="00F6761A"/>
    <w:rsid w:val="00F70F8F"/>
    <w:rsid w:val="00F81454"/>
    <w:rsid w:val="00F81EE4"/>
    <w:rsid w:val="00F83D2D"/>
    <w:rsid w:val="00F843A2"/>
    <w:rsid w:val="00F84F7F"/>
    <w:rsid w:val="00F86235"/>
    <w:rsid w:val="00F91560"/>
    <w:rsid w:val="00F93A2B"/>
    <w:rsid w:val="00FA0B31"/>
    <w:rsid w:val="00FA4FB2"/>
    <w:rsid w:val="00FA5BFC"/>
    <w:rsid w:val="00FB0118"/>
    <w:rsid w:val="00FB05E0"/>
    <w:rsid w:val="00FB0D26"/>
    <w:rsid w:val="00FB35B0"/>
    <w:rsid w:val="00FB69E1"/>
    <w:rsid w:val="00FB71F4"/>
    <w:rsid w:val="00FC3B0C"/>
    <w:rsid w:val="00FC7EFE"/>
    <w:rsid w:val="00FD0F93"/>
    <w:rsid w:val="00FD18E9"/>
    <w:rsid w:val="00FD3EED"/>
    <w:rsid w:val="00FD4D24"/>
    <w:rsid w:val="00FD74CC"/>
    <w:rsid w:val="00FE3FC6"/>
    <w:rsid w:val="00FF0439"/>
    <w:rsid w:val="00FF1580"/>
    <w:rsid w:val="00FF2EDC"/>
    <w:rsid w:val="00FF54D6"/>
    <w:rsid w:val="00FF705E"/>
    <w:rsid w:val="02F04899"/>
    <w:rsid w:val="098B0CBC"/>
    <w:rsid w:val="180608FF"/>
    <w:rsid w:val="264C0D8B"/>
    <w:rsid w:val="47C85A9B"/>
    <w:rsid w:val="5EF947CB"/>
    <w:rsid w:val="69263136"/>
    <w:rsid w:val="6C14536A"/>
    <w:rsid w:val="711F0F93"/>
    <w:rsid w:val="7FD22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semiHidden/>
    <w:unhideWhenUsed/>
    <w:qFormat/>
    <w:uiPriority w:val="99"/>
    <w:pPr>
      <w:spacing w:after="120"/>
      <w:ind w:left="420" w:leftChars="200"/>
    </w:pPr>
  </w:style>
  <w:style w:type="paragraph" w:styleId="3">
    <w:name w:val="Balloon Text"/>
    <w:basedOn w:val="1"/>
    <w:link w:val="13"/>
    <w:semiHidden/>
    <w:unhideWhenUsed/>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link w:val="16"/>
    <w:unhideWhenUsed/>
    <w:qFormat/>
    <w:uiPriority w:val="0"/>
    <w:pPr>
      <w:ind w:firstLine="420" w:firstLineChars="200"/>
    </w:pPr>
    <w:rPr>
      <w:rFonts w:ascii="Calibri" w:hAnsi="Calibri" w:eastAsia="宋体" w:cs="Times New Roman"/>
      <w:szCs w:val="24"/>
    </w:rPr>
  </w:style>
  <w:style w:type="character" w:customStyle="1" w:styleId="9">
    <w:name w:val="页眉 字符"/>
    <w:basedOn w:val="8"/>
    <w:link w:val="5"/>
    <w:autoRedefine/>
    <w:qFormat/>
    <w:uiPriority w:val="99"/>
    <w:rPr>
      <w:sz w:val="18"/>
      <w:szCs w:val="18"/>
    </w:rPr>
  </w:style>
  <w:style w:type="character" w:customStyle="1" w:styleId="10">
    <w:name w:val="页脚 字符"/>
    <w:basedOn w:val="8"/>
    <w:link w:val="4"/>
    <w:autoRedefine/>
    <w:qFormat/>
    <w:uiPriority w:val="99"/>
    <w:rPr>
      <w:sz w:val="18"/>
      <w:szCs w:val="18"/>
    </w:rPr>
  </w:style>
  <w:style w:type="paragraph" w:styleId="11">
    <w:name w:val="List Paragraph"/>
    <w:basedOn w:val="1"/>
    <w:autoRedefine/>
    <w:qFormat/>
    <w:uiPriority w:val="34"/>
    <w:pPr>
      <w:ind w:firstLine="420" w:firstLineChars="200"/>
    </w:pPr>
  </w:style>
  <w:style w:type="paragraph" w:customStyle="1" w:styleId="12">
    <w:name w:val="段"/>
    <w:link w:val="1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3">
    <w:name w:val="批注框文本 字符"/>
    <w:basedOn w:val="8"/>
    <w:link w:val="3"/>
    <w:semiHidden/>
    <w:qFormat/>
    <w:uiPriority w:val="99"/>
    <w:rPr>
      <w:kern w:val="2"/>
      <w:sz w:val="18"/>
      <w:szCs w:val="18"/>
    </w:rPr>
  </w:style>
  <w:style w:type="character" w:customStyle="1" w:styleId="14">
    <w:name w:val="段 Char"/>
    <w:link w:val="12"/>
    <w:qFormat/>
    <w:uiPriority w:val="0"/>
    <w:rPr>
      <w:rFonts w:ascii="宋体" w:hAnsi="Times New Roman" w:eastAsia="宋体" w:cs="Times New Roman"/>
      <w:sz w:val="21"/>
    </w:rPr>
  </w:style>
  <w:style w:type="character" w:customStyle="1" w:styleId="15">
    <w:name w:val="正文文本缩进 字符"/>
    <w:basedOn w:val="8"/>
    <w:link w:val="2"/>
    <w:semiHidden/>
    <w:uiPriority w:val="99"/>
    <w:rPr>
      <w:kern w:val="2"/>
      <w:sz w:val="21"/>
      <w:szCs w:val="22"/>
    </w:rPr>
  </w:style>
  <w:style w:type="character" w:customStyle="1" w:styleId="16">
    <w:name w:val="正文文本首行缩进 2 字符"/>
    <w:basedOn w:val="15"/>
    <w:link w:val="6"/>
    <w:uiPriority w:val="0"/>
    <w:rPr>
      <w:rFonts w:ascii="Calibri" w:hAnsi="Calibri" w:eastAsia="宋体" w:cs="Times New Roman"/>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长沙市标准化协会</Company>
  <Pages>14</Pages>
  <Words>1056</Words>
  <Characters>6020</Characters>
  <Lines>50</Lines>
  <Paragraphs>14</Paragraphs>
  <TotalTime>64</TotalTime>
  <ScaleCrop>false</ScaleCrop>
  <LinksUpToDate>false</LinksUpToDate>
  <CharactersWithSpaces>7062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2022-05-17T00:39:00Z</dcterms:created>
  <dc:creator>Administrator</dc:creator>
  <cp:lastModifiedBy>bylxb</cp:lastModifiedBy>
  <dcterms:modified xsi:type="dcterms:W3CDTF">2024-04-29T02:03:50Z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C0F0D1C5B3EF416EB186D6314B8E74C7</vt:lpwstr>
  </property>
</Properties>
</file>