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eastAsia="方正小标宋简体"/>
          <w:sz w:val="36"/>
          <w:szCs w:val="36"/>
        </w:rPr>
      </w:pPr>
      <w:r>
        <w:rPr>
          <w:rFonts w:hint="eastAsia" w:ascii="方正小标宋简体" w:eastAsia="方正小标宋简体"/>
          <w:sz w:val="36"/>
          <w:szCs w:val="36"/>
        </w:rPr>
        <w:t>中国民族医药协会团体标准《布依族医经典病房管理与建设指南》编制说明（征求意见稿）</w:t>
      </w:r>
    </w:p>
    <w:p>
      <w:pPr>
        <w:spacing w:before="156" w:beforeLines="50" w:after="156" w:afterLines="50" w:line="560" w:lineRule="exact"/>
        <w:jc w:val="left"/>
        <w:rPr>
          <w:rFonts w:ascii="黑体" w:hAnsi="黑体" w:eastAsia="黑体"/>
          <w:sz w:val="28"/>
          <w:szCs w:val="28"/>
        </w:rPr>
      </w:pPr>
      <w:r>
        <w:rPr>
          <w:rFonts w:hint="eastAsia" w:ascii="黑体" w:hAnsi="黑体" w:eastAsia="黑体"/>
          <w:sz w:val="28"/>
          <w:szCs w:val="28"/>
        </w:rPr>
        <w:t>一、任务来源</w:t>
      </w:r>
    </w:p>
    <w:p>
      <w:pPr>
        <w:spacing w:line="560" w:lineRule="exact"/>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标准化是布依族医药事业发展的一项基础性、战略性、全局性工作，是布依族医药事业发展的技术支撑，是推进布依族医药行业治理体系和治理能力现代化的基础性制度。布依族医药标准是布依族医药科技成果的最高表现形式，具有权威性、先进性、客观性和效率性。</w:t>
      </w:r>
      <w:bookmarkStart w:id="0" w:name="_Hlk154583727"/>
      <w:r>
        <w:rPr>
          <w:rFonts w:hint="eastAsia" w:ascii="仿宋_GB2312" w:eastAsia="仿宋_GB2312" w:hAnsiTheme="minorEastAsia"/>
          <w:sz w:val="28"/>
          <w:szCs w:val="28"/>
        </w:rPr>
        <w:t>布依族医药作为布依族人们防病治病、养生保健的重要手段不断被广大人民所认知。然而，由于布依族人民居住的地域和生活习性不一样，对药物的认识也不同，</w:t>
      </w:r>
      <w:r>
        <w:rPr>
          <w:rFonts w:hint="eastAsia" w:ascii="仿宋_GB2312" w:eastAsia="仿宋_GB2312" w:hAnsiTheme="minorEastAsia"/>
          <w:sz w:val="28"/>
          <w:szCs w:val="28"/>
          <w:lang w:val="en-US" w:eastAsia="zh-CN"/>
        </w:rPr>
        <w:t>加之</w:t>
      </w:r>
      <w:r>
        <w:rPr>
          <w:rFonts w:hint="eastAsia" w:ascii="仿宋_GB2312" w:eastAsia="仿宋_GB2312" w:hAnsiTheme="minorEastAsia"/>
          <w:sz w:val="28"/>
          <w:szCs w:val="28"/>
        </w:rPr>
        <w:t>布依族医药标准体系</w:t>
      </w:r>
      <w:r>
        <w:rPr>
          <w:rFonts w:hint="eastAsia" w:ascii="仿宋_GB2312" w:eastAsia="仿宋_GB2312" w:hAnsiTheme="minorEastAsia"/>
          <w:sz w:val="28"/>
          <w:szCs w:val="28"/>
          <w:lang w:val="en-US" w:eastAsia="zh-CN"/>
        </w:rPr>
        <w:t>尚</w:t>
      </w:r>
      <w:r>
        <w:rPr>
          <w:rFonts w:hint="eastAsia" w:ascii="仿宋_GB2312" w:eastAsia="仿宋_GB2312" w:hAnsiTheme="minorEastAsia"/>
          <w:sz w:val="28"/>
          <w:szCs w:val="28"/>
        </w:rPr>
        <w:t>未建立，从而使得布依族医药的普及受到一定的限制。随着对布依族医药的不断挖掘整理和研究，相信布依族医药会受到更多关注。</w:t>
      </w:r>
    </w:p>
    <w:p>
      <w:pPr>
        <w:spacing w:line="560" w:lineRule="exact"/>
        <w:ind w:firstLine="560" w:firstLineChars="200"/>
        <w:rPr>
          <w:rFonts w:ascii="仿宋_GB2312" w:eastAsia="仿宋_GB2312" w:hAnsiTheme="minorEastAsia"/>
          <w:sz w:val="28"/>
          <w:szCs w:val="28"/>
        </w:rPr>
      </w:pPr>
      <w:bookmarkStart w:id="1" w:name="_Hlk154579833"/>
      <w:r>
        <w:rPr>
          <w:rFonts w:hint="eastAsia" w:ascii="仿宋_GB2312" w:eastAsia="仿宋_GB2312" w:hAnsiTheme="minorEastAsia"/>
          <w:sz w:val="28"/>
          <w:szCs w:val="28"/>
        </w:rPr>
        <w:t>布依族医药在预防、治疗、康复、保健等方面发挥着重要的作用，适用于内、外、妇、儿、五官科等疾病，特别是布依族医药外治疗法安全、有效且无毒副作用，深受广大群众的欢迎。当前在布依族医病房设置、布依族医病房场地设施配置、布依族医药人才培养、布依族医药技术应用规范等方面均缺乏统一建设与管理标准，制约了布依族医药行业的高质量发展。</w:t>
      </w:r>
    </w:p>
    <w:p>
      <w:pPr>
        <w:pStyle w:val="13"/>
        <w:spacing w:line="560" w:lineRule="exact"/>
        <w:ind w:firstLine="560" w:firstLineChars="200"/>
        <w:rPr>
          <w:rFonts w:ascii="仿宋_GB2312" w:eastAsia="仿宋_GB2312" w:hAnsiTheme="minorEastAsia" w:cstheme="minorBidi"/>
          <w:kern w:val="2"/>
          <w:sz w:val="28"/>
          <w:szCs w:val="28"/>
          <w:lang w:eastAsia="zh-CN"/>
        </w:rPr>
      </w:pPr>
      <w:r>
        <w:rPr>
          <w:rFonts w:hint="eastAsia" w:ascii="仿宋_GB2312" w:eastAsia="仿宋_GB2312" w:hAnsiTheme="minorEastAsia" w:cstheme="minorBidi"/>
          <w:kern w:val="2"/>
          <w:sz w:val="28"/>
          <w:szCs w:val="28"/>
          <w:lang w:eastAsia="zh-CN"/>
        </w:rPr>
        <w:t>为进一步规范布依族医经典病房的建设与管理，提高布依族医经典病房服务能力与水平，满足人民群众对布依族医日益增长</w:t>
      </w:r>
      <w:r>
        <w:rPr>
          <w:rFonts w:hint="eastAsia" w:ascii="仿宋_GB2312" w:eastAsia="仿宋_GB2312" w:hAnsiTheme="minorEastAsia" w:cstheme="minorBidi"/>
          <w:kern w:val="2"/>
          <w:sz w:val="28"/>
          <w:szCs w:val="28"/>
          <w:lang w:val="en-US" w:eastAsia="zh-CN"/>
        </w:rPr>
        <w:t>的</w:t>
      </w:r>
      <w:r>
        <w:rPr>
          <w:rFonts w:hint="eastAsia" w:ascii="仿宋_GB2312" w:eastAsia="仿宋_GB2312" w:hAnsiTheme="minorEastAsia" w:cstheme="minorBidi"/>
          <w:kern w:val="2"/>
          <w:sz w:val="28"/>
          <w:szCs w:val="28"/>
          <w:lang w:eastAsia="zh-CN"/>
        </w:rPr>
        <w:t>需求，在系统总结国家中医药管理局相关病房建设与管理经验的基础上，采用文献研究、实地调研等多种研究方法，根据《医疗机构管理条例》及《中共中央国务院关于促进中医药传承创新发展的意见》等相关法律法规，制定本文件。</w:t>
      </w:r>
    </w:p>
    <w:bookmarkEnd w:id="0"/>
    <w:bookmarkEnd w:id="1"/>
    <w:p>
      <w:pPr>
        <w:pStyle w:val="9"/>
        <w:numPr>
          <w:ilvl w:val="0"/>
          <w:numId w:val="1"/>
        </w:numPr>
        <w:spacing w:before="156" w:beforeLines="50" w:after="156" w:afterLines="50" w:line="560" w:lineRule="exact"/>
        <w:ind w:firstLineChars="0"/>
        <w:jc w:val="left"/>
        <w:rPr>
          <w:rFonts w:ascii="黑体" w:hAnsi="黑体" w:eastAsia="黑体"/>
          <w:sz w:val="28"/>
          <w:szCs w:val="28"/>
        </w:rPr>
      </w:pPr>
      <w:r>
        <w:rPr>
          <w:rFonts w:hint="eastAsia" w:ascii="黑体" w:hAnsi="黑体" w:eastAsia="黑体"/>
          <w:sz w:val="28"/>
          <w:szCs w:val="28"/>
        </w:rPr>
        <w:t>制定标准的必要性与意义</w:t>
      </w:r>
    </w:p>
    <w:p>
      <w:pPr>
        <w:spacing w:line="560" w:lineRule="exact"/>
        <w:ind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布依族医药在预防、治疗、康复、保健等方面发挥着重要的作用，适用于内、外、妇、儿、五官科等疾病，特别是布依族医药外治疗法安全、有效且无毒副作用，深受广大群众的欢迎。当前在布依族医病房设置、布依族医药人才培养、布依族医病房场地设施配置、布依族医药技术应用规范等方面均缺乏统一建设与管理标准，制约了布依族医药行业的高质量发展。</w:t>
      </w:r>
    </w:p>
    <w:p>
      <w:pPr>
        <w:spacing w:line="560" w:lineRule="exact"/>
        <w:ind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为进一步规范布依族医病房的建设与管理，提高布依族医病房服务能力与水平，满足人民群众日益增长对瑶浴疗法需求，在系统总结国家中医药管理局相关病房建设与管理经验的基础上，采用文献研究、实地调研等多种研究方法，根据《医疗机构管理条例》及《中共中央国务院关于促进中医药传承创新发展的意见》等相关法律法规，制定本文件。</w:t>
      </w:r>
    </w:p>
    <w:p>
      <w:pPr>
        <w:spacing w:line="560" w:lineRule="exact"/>
        <w:ind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布依族医病房通过运用布依族医药理论，充分发挥布依族医药特色与优势，积极探索运用主导的布依族医药疗法，开展各种优势病种的诊治工作，形成布依族医药主导的诊疗方案并向其他临床科室推广，达到全面提升布依族医药临床服务水平及目标，主攻病种布依族医药疗法参与治疗率应达100%，主攻病种为主的布依族医药疗法治疗率应达90%。</w:t>
      </w:r>
    </w:p>
    <w:p>
      <w:pPr>
        <w:spacing w:line="560" w:lineRule="exact"/>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本文件旨在规范布依族医病房建设与管理，拓展布依族医服务能力，为人民群众提供安全、有效的布依族医药，同时为行业主管部门科学评价布依族医病房服务能力提供参考。</w:t>
      </w:r>
    </w:p>
    <w:p>
      <w:pPr>
        <w:spacing w:before="156" w:beforeLines="50" w:after="156" w:afterLines="50" w:line="560" w:lineRule="exact"/>
        <w:jc w:val="left"/>
        <w:rPr>
          <w:rFonts w:ascii="黑体" w:hAnsi="黑体" w:eastAsia="黑体"/>
          <w:sz w:val="28"/>
          <w:szCs w:val="28"/>
        </w:rPr>
      </w:pPr>
      <w:r>
        <w:rPr>
          <w:rFonts w:hint="eastAsia" w:ascii="黑体" w:hAnsi="黑体" w:eastAsia="黑体"/>
          <w:sz w:val="28"/>
          <w:szCs w:val="28"/>
        </w:rPr>
        <w:t>三</w:t>
      </w:r>
      <w:r>
        <w:rPr>
          <w:rFonts w:hint="eastAsia" w:ascii="仿宋_GB2312" w:eastAsia="仿宋_GB2312" w:hAnsiTheme="minorEastAsia"/>
          <w:sz w:val="28"/>
          <w:szCs w:val="28"/>
        </w:rPr>
        <w:t>、</w:t>
      </w:r>
      <w:r>
        <w:rPr>
          <w:rFonts w:hint="eastAsia" w:ascii="黑体" w:hAnsi="黑体" w:eastAsia="黑体"/>
          <w:sz w:val="28"/>
          <w:szCs w:val="28"/>
        </w:rPr>
        <w:t>主要工作过程</w:t>
      </w:r>
    </w:p>
    <w:p>
      <w:pPr>
        <w:pStyle w:val="9"/>
        <w:numPr>
          <w:ilvl w:val="0"/>
          <w:numId w:val="2"/>
        </w:numPr>
        <w:spacing w:after="156" w:afterLines="50" w:line="560" w:lineRule="exact"/>
        <w:ind w:left="420" w:leftChars="200" w:firstLine="0" w:firstLineChars="0"/>
        <w:rPr>
          <w:rFonts w:ascii="楷体_GB2312" w:hAnsi="黑体" w:eastAsia="楷体_GB2312"/>
          <w:sz w:val="28"/>
          <w:szCs w:val="28"/>
        </w:rPr>
      </w:pPr>
      <w:r>
        <w:rPr>
          <w:rFonts w:hint="eastAsia" w:ascii="楷体_GB2312" w:hAnsi="黑体" w:eastAsia="楷体_GB2312"/>
          <w:sz w:val="28"/>
          <w:szCs w:val="28"/>
        </w:rPr>
        <w:t>前期标准预研</w:t>
      </w:r>
    </w:p>
    <w:p>
      <w:pPr>
        <w:pStyle w:val="9"/>
        <w:spacing w:line="560" w:lineRule="exact"/>
        <w:ind w:firstLine="560"/>
        <w:jc w:val="left"/>
        <w:rPr>
          <w:rFonts w:ascii="仿宋_GB2312" w:eastAsia="仿宋_GB2312" w:hAnsiTheme="minorEastAsia"/>
          <w:sz w:val="28"/>
          <w:szCs w:val="28"/>
        </w:rPr>
      </w:pPr>
      <w:r>
        <w:rPr>
          <w:rFonts w:hint="eastAsia" w:ascii="仿宋_GB2312" w:eastAsia="仿宋_GB2312" w:hAnsiTheme="minorEastAsia"/>
          <w:sz w:val="28"/>
          <w:szCs w:val="28"/>
        </w:rPr>
        <w:t>2024年1月，黔西南布依族苗族自治州册亨县中医院、德江县民族中医院、贵州云中医院、天柱县中医院、黔东南州中医医院、毕节市七星关区中医妇幼集团医院、罗甸县中医院、石阡县中医医院、务川仡佬族苗族自治县中医医院、册亨县人民医院、安龙县人民医院及黔西市中医医院成立标准编制工作组，确定了主要起草人及小组成员工作职责，并确定了标准编制计划，正式开展前期资料收集与研究工作，通过对文献及相关标准检索查新，梳理国内外布依族医经典病房的建设情况，探讨标准立项和基本结构要点，为标准研制打下了良好的基础。</w:t>
      </w:r>
    </w:p>
    <w:p>
      <w:pPr>
        <w:pStyle w:val="9"/>
        <w:numPr>
          <w:ilvl w:val="0"/>
          <w:numId w:val="2"/>
        </w:numPr>
        <w:spacing w:after="156" w:afterLines="50" w:line="560" w:lineRule="exact"/>
        <w:ind w:left="420" w:leftChars="200" w:firstLine="0" w:firstLineChars="0"/>
        <w:rPr>
          <w:rFonts w:ascii="楷体_GB2312" w:hAnsi="黑体" w:eastAsia="楷体_GB2312"/>
          <w:sz w:val="28"/>
          <w:szCs w:val="28"/>
        </w:rPr>
      </w:pPr>
      <w:r>
        <w:rPr>
          <w:rFonts w:hint="eastAsia" w:ascii="楷体_GB2312" w:hAnsi="黑体" w:eastAsia="楷体_GB2312"/>
          <w:sz w:val="28"/>
          <w:szCs w:val="28"/>
        </w:rPr>
        <w:t>标准立项</w:t>
      </w:r>
    </w:p>
    <w:p>
      <w:pPr>
        <w:pStyle w:val="9"/>
        <w:spacing w:line="560" w:lineRule="exact"/>
        <w:ind w:firstLine="560"/>
        <w:jc w:val="left"/>
        <w:rPr>
          <w:rFonts w:ascii="仿宋_GB2312" w:eastAsia="仿宋_GB2312" w:hAnsiTheme="minorEastAsia"/>
          <w:sz w:val="28"/>
          <w:szCs w:val="28"/>
        </w:rPr>
      </w:pPr>
      <w:r>
        <w:rPr>
          <w:rFonts w:hint="eastAsia" w:ascii="仿宋_GB2312" w:eastAsia="仿宋_GB2312" w:hAnsiTheme="minorEastAsia"/>
          <w:sz w:val="28"/>
          <w:szCs w:val="28"/>
        </w:rPr>
        <w:t>2024年2月，标准编制工作组从布依族医经典病房出发，多次进行讨论，确定了标准的适用范围、框架及关键点要求，并按要求填写了团体标准制修订立项申请书，编制了《布依族医经典病房管理与建设指南》团体标准初稿及可行性分析报告，并向中国民族医药协会提交立项申请。</w:t>
      </w:r>
    </w:p>
    <w:p>
      <w:pPr>
        <w:pStyle w:val="9"/>
        <w:spacing w:line="560" w:lineRule="exact"/>
        <w:ind w:firstLine="560"/>
        <w:jc w:val="left"/>
        <w:rPr>
          <w:rFonts w:ascii="仿宋_GB2312" w:eastAsia="仿宋_GB2312" w:hAnsiTheme="minorEastAsia"/>
          <w:sz w:val="28"/>
          <w:szCs w:val="28"/>
        </w:rPr>
      </w:pPr>
      <w:r>
        <w:rPr>
          <w:rFonts w:hint="eastAsia" w:ascii="仿宋_GB2312" w:eastAsia="仿宋_GB2312" w:hAnsiTheme="minorEastAsia"/>
          <w:sz w:val="28"/>
          <w:szCs w:val="28"/>
        </w:rPr>
        <w:t>经中国民族医药协会团标委审查及相关专家评审后，</w:t>
      </w:r>
      <w:r>
        <w:rPr>
          <w:rFonts w:hint="eastAsia" w:ascii="仿宋_GB2312" w:eastAsia="仿宋_GB2312" w:hAnsiTheme="minorEastAsia"/>
          <w:sz w:val="28"/>
          <w:szCs w:val="28"/>
          <w:lang w:val="en-US" w:eastAsia="zh-CN"/>
        </w:rPr>
        <w:t>于</w:t>
      </w:r>
      <w:r>
        <w:rPr>
          <w:rFonts w:hint="eastAsia" w:ascii="仿宋_GB2312" w:eastAsia="仿宋_GB2312" w:hAnsiTheme="minorEastAsia"/>
          <w:sz w:val="28"/>
          <w:szCs w:val="28"/>
        </w:rPr>
        <w:t>2024年4月3日正式立项成功。</w:t>
      </w:r>
    </w:p>
    <w:p>
      <w:pPr>
        <w:pStyle w:val="9"/>
        <w:numPr>
          <w:ilvl w:val="0"/>
          <w:numId w:val="2"/>
        </w:numPr>
        <w:spacing w:after="156" w:afterLines="50" w:line="560" w:lineRule="exact"/>
        <w:ind w:left="420" w:leftChars="200" w:firstLine="0" w:firstLineChars="0"/>
        <w:rPr>
          <w:rFonts w:ascii="楷体_GB2312" w:hAnsi="黑体" w:eastAsia="楷体_GB2312"/>
          <w:sz w:val="28"/>
          <w:szCs w:val="28"/>
        </w:rPr>
      </w:pPr>
      <w:r>
        <w:rPr>
          <w:rFonts w:hint="eastAsia" w:ascii="楷体_GB2312" w:hAnsi="黑体" w:eastAsia="楷体_GB2312"/>
          <w:sz w:val="28"/>
          <w:szCs w:val="28"/>
        </w:rPr>
        <w:t>标准起草过程</w:t>
      </w:r>
    </w:p>
    <w:p>
      <w:pPr>
        <w:pStyle w:val="9"/>
        <w:spacing w:line="560" w:lineRule="exact"/>
        <w:ind w:firstLine="560"/>
        <w:jc w:val="left"/>
        <w:rPr>
          <w:rFonts w:ascii="仿宋_GB2312" w:eastAsia="仿宋_GB2312" w:hAnsiTheme="minorEastAsia"/>
          <w:sz w:val="28"/>
          <w:szCs w:val="28"/>
        </w:rPr>
      </w:pPr>
      <w:r>
        <w:rPr>
          <w:rFonts w:hint="eastAsia" w:ascii="仿宋_GB2312" w:eastAsia="仿宋_GB2312" w:hAnsiTheme="minorEastAsia"/>
          <w:sz w:val="28"/>
          <w:szCs w:val="28"/>
        </w:rPr>
        <w:t>202</w:t>
      </w:r>
      <w:r>
        <w:rPr>
          <w:rFonts w:ascii="仿宋_GB2312" w:eastAsia="仿宋_GB2312" w:hAnsiTheme="minorEastAsia"/>
          <w:sz w:val="28"/>
          <w:szCs w:val="28"/>
        </w:rPr>
        <w:t>3</w:t>
      </w:r>
      <w:r>
        <w:rPr>
          <w:rFonts w:hint="eastAsia" w:ascii="仿宋_GB2312" w:eastAsia="仿宋_GB2312" w:hAnsiTheme="minorEastAsia"/>
          <w:sz w:val="28"/>
          <w:szCs w:val="28"/>
        </w:rPr>
        <w:t>年</w:t>
      </w:r>
      <w:r>
        <w:rPr>
          <w:rFonts w:ascii="仿宋_GB2312" w:eastAsia="仿宋_GB2312" w:hAnsiTheme="minorEastAsia"/>
          <w:sz w:val="28"/>
          <w:szCs w:val="28"/>
        </w:rPr>
        <w:t>9</w:t>
      </w:r>
      <w:r>
        <w:rPr>
          <w:rFonts w:hint="eastAsia" w:ascii="仿宋_GB2312" w:eastAsia="仿宋_GB2312" w:hAnsiTheme="minorEastAsia"/>
          <w:sz w:val="28"/>
          <w:szCs w:val="28"/>
        </w:rPr>
        <w:t>月，收到标准成功立项公告后，标准编制工作组第一时间将团标委专家的立项评审意见进行汇总，并与相关专家及研发技术人员通过线上沟通，线下讨论等形式对团标委的意见进行分析采纳，并对标准草案进一步完善。</w:t>
      </w:r>
    </w:p>
    <w:p>
      <w:pPr>
        <w:pStyle w:val="9"/>
        <w:spacing w:line="560" w:lineRule="exact"/>
        <w:ind w:firstLine="560"/>
        <w:jc w:val="left"/>
        <w:rPr>
          <w:rFonts w:ascii="仿宋_GB2312" w:eastAsia="仿宋_GB2312" w:hAnsiTheme="minorEastAsia"/>
          <w:sz w:val="28"/>
          <w:szCs w:val="28"/>
        </w:rPr>
      </w:pPr>
      <w:r>
        <w:rPr>
          <w:rFonts w:hint="eastAsia" w:ascii="仿宋_GB2312" w:eastAsia="仿宋_GB2312" w:hAnsiTheme="minorEastAsia"/>
          <w:sz w:val="28"/>
          <w:szCs w:val="28"/>
        </w:rPr>
        <w:t>标准编制工作组在黔西南布依族苗族自治州册亨县中医院召开了</w:t>
      </w:r>
      <w:r>
        <w:rPr>
          <w:rFonts w:ascii="仿宋_GB2312" w:eastAsia="仿宋_GB2312" w:hAnsiTheme="minorEastAsia"/>
          <w:sz w:val="28"/>
          <w:szCs w:val="28"/>
        </w:rPr>
        <w:t>202</w:t>
      </w:r>
      <w:r>
        <w:rPr>
          <w:rFonts w:hint="eastAsia" w:ascii="仿宋_GB2312" w:eastAsia="仿宋_GB2312" w:hAnsiTheme="minorEastAsia"/>
          <w:sz w:val="28"/>
          <w:szCs w:val="28"/>
        </w:rPr>
        <w:t>4年度中国民族医药协会团体标准《布依族医经典病房管理与建设指南》专家起草论证会，中华中医药学会整脊分会顾问、贵州省中西医结合学会银质针专业委员会创会主任委员、贵州省中医名医传承工作指导老师、贵州中医药大学第一附属医院主任医师、教授、硕士研究生导师祝乾清；中国中医药信息学会全科医学分会副会长兼秘书长，世界中联国际中医药临床标准工作委员会常务理事、国家标准化管理委员会全国中医标准化技术委员会(SAC/TC478)观察员及全国保健服务标准化技术委员会(SAC/TC 483)观察员、中华中医药学会团体标准观察员曾曼杰同志；贵州省名中医、贵州省中西医结合学会银质针专业委员会副主任委员、黔西南布依族苗族自治州中医医院针灸科主任周斌、黔西南布依族苗族自治州人民医院中医科滕英华主任、黔西南布依族苗族自治州兴义市人民医院中医科副主任李红日博士、黔西南布依族苗族自治州册亨县人民医院中医科康忠兰主任、黔西南布依族苗族自治州册亨县卫生健康局副局长胡逸风同志等参加起草论证。后期项目多次开展论证，根据相关法律法规及标准的要求对《布依族医经典病房管理与建设指南》团体标准的具体指标内容进行了讨论，形成了《布依族医经典病房管理与建设指南》团体标准和编制说明的征求意见稿。</w:t>
      </w:r>
    </w:p>
    <w:p>
      <w:pPr>
        <w:pStyle w:val="9"/>
        <w:numPr>
          <w:ilvl w:val="0"/>
          <w:numId w:val="3"/>
        </w:numPr>
        <w:spacing w:before="156" w:beforeLines="50" w:after="156" w:afterLines="50" w:line="560" w:lineRule="exact"/>
        <w:ind w:firstLineChars="0"/>
        <w:jc w:val="left"/>
        <w:rPr>
          <w:rFonts w:ascii="黑体" w:hAnsi="黑体" w:eastAsia="黑体"/>
          <w:sz w:val="28"/>
          <w:szCs w:val="28"/>
        </w:rPr>
      </w:pPr>
      <w:r>
        <w:rPr>
          <w:rFonts w:hint="eastAsia" w:ascii="黑体" w:hAnsi="黑体" w:eastAsia="黑体"/>
          <w:sz w:val="28"/>
          <w:szCs w:val="28"/>
        </w:rPr>
        <w:t>主要参编单位及人员</w:t>
      </w:r>
    </w:p>
    <w:p>
      <w:pPr>
        <w:pStyle w:val="9"/>
        <w:numPr>
          <w:ilvl w:val="0"/>
          <w:numId w:val="4"/>
        </w:numPr>
        <w:spacing w:after="156" w:afterLines="50" w:line="560" w:lineRule="exact"/>
        <w:ind w:firstLineChars="0"/>
        <w:rPr>
          <w:rFonts w:ascii="楷体_GB2312" w:hAnsi="黑体" w:eastAsia="楷体_GB2312"/>
          <w:sz w:val="28"/>
          <w:szCs w:val="28"/>
        </w:rPr>
      </w:pPr>
      <w:r>
        <w:rPr>
          <w:rFonts w:hint="eastAsia" w:ascii="楷体_GB2312" w:hAnsi="黑体" w:eastAsia="楷体_GB2312"/>
          <w:sz w:val="28"/>
          <w:szCs w:val="28"/>
        </w:rPr>
        <w:t>主要参编单位</w:t>
      </w:r>
    </w:p>
    <w:p>
      <w:pPr>
        <w:pStyle w:val="9"/>
        <w:spacing w:line="560" w:lineRule="exact"/>
        <w:ind w:firstLine="0" w:firstLineChars="0"/>
        <w:jc w:val="left"/>
        <w:rPr>
          <w:rFonts w:ascii="仿宋_GB2312" w:eastAsia="仿宋_GB2312" w:hAnsiTheme="minorEastAsia"/>
          <w:sz w:val="28"/>
          <w:szCs w:val="28"/>
        </w:rPr>
      </w:pPr>
      <w:r>
        <w:rPr>
          <w:rFonts w:hint="eastAsia" w:ascii="仿宋_GB2312" w:eastAsia="仿宋_GB2312" w:hAnsiTheme="minorEastAsia"/>
          <w:sz w:val="28"/>
          <w:szCs w:val="28"/>
        </w:rPr>
        <w:t xml:space="preserve">    黔西南布依族苗族自治州册亨县中医院、德江县民族中医院、贵州云中医院、天柱县中医院、黔东南州中医医院、毕节市七星关区中医妇幼集团医院、罗甸县中医院、石阡县中医医院、务川仡佬族苗族自治县中医医院、黔西南布依族苗族自治州册亨县人民医院、黔西南布依族苗族自治州安龙县人民医院。</w:t>
      </w:r>
    </w:p>
    <w:p>
      <w:pPr>
        <w:pStyle w:val="9"/>
        <w:numPr>
          <w:ilvl w:val="0"/>
          <w:numId w:val="4"/>
        </w:numPr>
        <w:spacing w:after="156" w:afterLines="50" w:line="560" w:lineRule="exact"/>
        <w:ind w:firstLineChars="0"/>
        <w:rPr>
          <w:rFonts w:ascii="楷体_GB2312" w:hAnsi="黑体" w:eastAsia="楷体_GB2312"/>
          <w:sz w:val="28"/>
          <w:szCs w:val="28"/>
        </w:rPr>
      </w:pPr>
      <w:r>
        <w:rPr>
          <w:rFonts w:hint="eastAsia" w:ascii="楷体_GB2312" w:hAnsi="黑体" w:eastAsia="楷体_GB2312"/>
          <w:sz w:val="28"/>
          <w:szCs w:val="28"/>
        </w:rPr>
        <w:t>编制组成员及职责</w:t>
      </w:r>
    </w:p>
    <w:p>
      <w:pPr>
        <w:spacing w:line="560" w:lineRule="exact"/>
        <w:jc w:val="left"/>
        <w:rPr>
          <w:rFonts w:ascii="仿宋_GB2312" w:eastAsia="仿宋_GB2312" w:hAnsiTheme="minorEastAsia"/>
          <w:sz w:val="28"/>
          <w:szCs w:val="28"/>
        </w:rPr>
      </w:pPr>
      <w:r>
        <w:rPr>
          <w:rFonts w:hint="eastAsia" w:ascii="仿宋_GB2312" w:eastAsia="仿宋_GB2312" w:hAnsiTheme="minorEastAsia"/>
          <w:sz w:val="28"/>
          <w:szCs w:val="28"/>
        </w:rPr>
        <w:t xml:space="preserve">     标准编制组成员及职责见表1。</w:t>
      </w:r>
    </w:p>
    <w:p>
      <w:pPr>
        <w:widowControl/>
        <w:tabs>
          <w:tab w:val="left" w:pos="360"/>
        </w:tabs>
        <w:spacing w:before="156" w:beforeLines="50" w:after="156" w:afterLines="50" w:line="560" w:lineRule="exact"/>
        <w:jc w:val="center"/>
        <w:rPr>
          <w:rFonts w:ascii="黑体" w:hAnsi="Times New Roman" w:eastAsia="黑体" w:cs="Times New Roman"/>
          <w:kern w:val="0"/>
          <w:szCs w:val="21"/>
        </w:rPr>
      </w:pPr>
      <w:r>
        <w:rPr>
          <w:rFonts w:hint="eastAsia" w:ascii="黑体" w:hAnsi="Times New Roman" w:eastAsia="黑体" w:cs="Times New Roman"/>
          <w:kern w:val="0"/>
          <w:szCs w:val="21"/>
        </w:rPr>
        <w:t>表1 标准编制组成员及职责</w:t>
      </w:r>
    </w:p>
    <w:tbl>
      <w:tblPr>
        <w:tblStyle w:val="5"/>
        <w:tblW w:w="5000"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13"/>
        <w:gridCol w:w="956"/>
        <w:gridCol w:w="3907"/>
        <w:gridCol w:w="2846"/>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tblHeader/>
          <w:jc w:val="center"/>
        </w:trPr>
        <w:tc>
          <w:tcPr>
            <w:tcW w:w="477" w:type="pct"/>
            <w:tcBorders>
              <w:top w:val="single" w:color="auto" w:sz="12" w:space="0"/>
              <w:bottom w:val="single" w:color="auto" w:sz="12" w:space="0"/>
            </w:tcBorders>
            <w:vAlign w:val="center"/>
          </w:tcPr>
          <w:p>
            <w:pPr>
              <w:spacing w:line="560" w:lineRule="exact"/>
              <w:jc w:val="center"/>
              <w:rPr>
                <w:rFonts w:asciiTheme="minorEastAsia" w:hAnsiTheme="minorEastAsia"/>
                <w:b/>
                <w:szCs w:val="21"/>
              </w:rPr>
            </w:pPr>
            <w:r>
              <w:rPr>
                <w:rFonts w:hint="eastAsia" w:asciiTheme="minorEastAsia" w:hAnsiTheme="minorEastAsia"/>
                <w:b/>
                <w:szCs w:val="21"/>
              </w:rPr>
              <w:t>序号</w:t>
            </w:r>
          </w:p>
        </w:tc>
        <w:tc>
          <w:tcPr>
            <w:tcW w:w="561" w:type="pct"/>
            <w:tcBorders>
              <w:top w:val="single" w:color="auto" w:sz="12" w:space="0"/>
              <w:bottom w:val="single" w:color="auto" w:sz="12" w:space="0"/>
            </w:tcBorders>
            <w:vAlign w:val="center"/>
          </w:tcPr>
          <w:p>
            <w:pPr>
              <w:spacing w:line="560" w:lineRule="exact"/>
              <w:jc w:val="center"/>
              <w:rPr>
                <w:rFonts w:asciiTheme="minorEastAsia" w:hAnsiTheme="minorEastAsia"/>
                <w:b/>
                <w:szCs w:val="21"/>
              </w:rPr>
            </w:pPr>
            <w:r>
              <w:rPr>
                <w:rFonts w:hint="eastAsia" w:asciiTheme="minorEastAsia" w:hAnsiTheme="minorEastAsia"/>
                <w:b/>
                <w:szCs w:val="21"/>
              </w:rPr>
              <w:t>姓名</w:t>
            </w:r>
          </w:p>
        </w:tc>
        <w:tc>
          <w:tcPr>
            <w:tcW w:w="2292" w:type="pct"/>
            <w:tcBorders>
              <w:top w:val="single" w:color="auto" w:sz="12" w:space="0"/>
              <w:bottom w:val="single" w:color="auto" w:sz="12" w:space="0"/>
            </w:tcBorders>
            <w:vAlign w:val="center"/>
          </w:tcPr>
          <w:p>
            <w:pPr>
              <w:spacing w:line="560" w:lineRule="exact"/>
              <w:jc w:val="center"/>
              <w:rPr>
                <w:rFonts w:asciiTheme="minorEastAsia" w:hAnsiTheme="minorEastAsia"/>
                <w:b/>
                <w:szCs w:val="21"/>
              </w:rPr>
            </w:pPr>
            <w:r>
              <w:rPr>
                <w:rFonts w:hint="eastAsia" w:asciiTheme="minorEastAsia" w:hAnsiTheme="minorEastAsia"/>
                <w:b/>
                <w:szCs w:val="21"/>
              </w:rPr>
              <w:t>单位</w:t>
            </w:r>
          </w:p>
        </w:tc>
        <w:tc>
          <w:tcPr>
            <w:tcW w:w="1669" w:type="pct"/>
            <w:tcBorders>
              <w:top w:val="single" w:color="auto" w:sz="12" w:space="0"/>
              <w:bottom w:val="single" w:color="auto" w:sz="12" w:space="0"/>
            </w:tcBorders>
            <w:vAlign w:val="center"/>
          </w:tcPr>
          <w:p>
            <w:pPr>
              <w:spacing w:line="560" w:lineRule="exact"/>
              <w:jc w:val="center"/>
              <w:rPr>
                <w:rFonts w:asciiTheme="minorEastAsia" w:hAnsiTheme="minorEastAsia"/>
                <w:b/>
                <w:szCs w:val="21"/>
              </w:rPr>
            </w:pPr>
            <w:r>
              <w:rPr>
                <w:rFonts w:hint="eastAsia" w:asciiTheme="minorEastAsia" w:hAnsiTheme="minorEastAsia"/>
                <w:b/>
                <w:szCs w:val="21"/>
              </w:rPr>
              <w:t>职责</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477" w:type="pct"/>
            <w:tcBorders>
              <w:top w:val="single" w:color="auto" w:sz="12" w:space="0"/>
            </w:tcBorders>
            <w:vAlign w:val="center"/>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1</w:t>
            </w:r>
          </w:p>
        </w:tc>
        <w:tc>
          <w:tcPr>
            <w:tcW w:w="561" w:type="pct"/>
            <w:tcBorders>
              <w:top w:val="single" w:color="auto" w:sz="12" w:space="0"/>
            </w:tcBorders>
            <w:vAlign w:val="center"/>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 xml:space="preserve">周 </w:t>
            </w:r>
            <w:r>
              <w:rPr>
                <w:rFonts w:asciiTheme="minorEastAsia" w:hAnsiTheme="minorEastAsia"/>
                <w:color w:val="000000" w:themeColor="text1"/>
                <w:szCs w:val="21"/>
                <w14:textFill>
                  <w14:solidFill>
                    <w14:schemeClr w14:val="tx1"/>
                  </w14:solidFill>
                </w14:textFill>
              </w:rPr>
              <w:t xml:space="preserve"> </w:t>
            </w:r>
            <w:r>
              <w:rPr>
                <w:rFonts w:hint="eastAsia" w:asciiTheme="minorEastAsia" w:hAnsiTheme="minorEastAsia"/>
                <w:color w:val="000000" w:themeColor="text1"/>
                <w:szCs w:val="21"/>
                <w14:textFill>
                  <w14:solidFill>
                    <w14:schemeClr w14:val="tx1"/>
                  </w14:solidFill>
                </w14:textFill>
              </w:rPr>
              <w:t>斌</w:t>
            </w:r>
          </w:p>
        </w:tc>
        <w:tc>
          <w:tcPr>
            <w:tcW w:w="2292" w:type="pct"/>
            <w:tcBorders>
              <w:top w:val="single" w:color="auto" w:sz="12" w:space="0"/>
            </w:tcBorders>
            <w:vAlign w:val="center"/>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册亨县中医院</w:t>
            </w:r>
          </w:p>
        </w:tc>
        <w:tc>
          <w:tcPr>
            <w:tcW w:w="1669" w:type="pct"/>
            <w:tcBorders>
              <w:top w:val="single" w:color="auto" w:sz="12" w:space="0"/>
            </w:tcBorders>
            <w:vAlign w:val="center"/>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项目总负责</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477" w:type="pct"/>
            <w:vAlign w:val="center"/>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2</w:t>
            </w:r>
          </w:p>
        </w:tc>
        <w:tc>
          <w:tcPr>
            <w:tcW w:w="561" w:type="pct"/>
            <w:vAlign w:val="center"/>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胡逸风</w:t>
            </w:r>
          </w:p>
        </w:tc>
        <w:tc>
          <w:tcPr>
            <w:tcW w:w="2292" w:type="pct"/>
            <w:vAlign w:val="center"/>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德江县民族中医院</w:t>
            </w:r>
          </w:p>
        </w:tc>
        <w:tc>
          <w:tcPr>
            <w:tcW w:w="1669" w:type="pct"/>
            <w:vAlign w:val="center"/>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项目技术统筹、技术把控</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477" w:type="pct"/>
            <w:vAlign w:val="center"/>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3</w:t>
            </w:r>
          </w:p>
        </w:tc>
        <w:tc>
          <w:tcPr>
            <w:tcW w:w="561" w:type="pct"/>
            <w:vAlign w:val="center"/>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曾曼杰</w:t>
            </w:r>
          </w:p>
        </w:tc>
        <w:tc>
          <w:tcPr>
            <w:tcW w:w="2292" w:type="pct"/>
            <w:vAlign w:val="center"/>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贵州云中医院（方法学专家）</w:t>
            </w:r>
          </w:p>
        </w:tc>
        <w:tc>
          <w:tcPr>
            <w:tcW w:w="1669" w:type="pct"/>
            <w:vAlign w:val="center"/>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关键指标试验方法确定</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477" w:type="pct"/>
            <w:vAlign w:val="center"/>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4</w:t>
            </w:r>
          </w:p>
        </w:tc>
        <w:tc>
          <w:tcPr>
            <w:tcW w:w="561" w:type="pct"/>
            <w:vAlign w:val="center"/>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 xml:space="preserve">赵 </w:t>
            </w:r>
            <w:r>
              <w:rPr>
                <w:rFonts w:asciiTheme="minorEastAsia" w:hAnsiTheme="minorEastAsia"/>
                <w:color w:val="000000" w:themeColor="text1"/>
                <w:szCs w:val="21"/>
                <w14:textFill>
                  <w14:solidFill>
                    <w14:schemeClr w14:val="tx1"/>
                  </w14:solidFill>
                </w14:textFill>
              </w:rPr>
              <w:t xml:space="preserve"> </w:t>
            </w:r>
            <w:r>
              <w:rPr>
                <w:rFonts w:hint="eastAsia" w:asciiTheme="minorEastAsia" w:hAnsiTheme="minorEastAsia"/>
                <w:color w:val="000000" w:themeColor="text1"/>
                <w:szCs w:val="21"/>
                <w14:textFill>
                  <w14:solidFill>
                    <w14:schemeClr w14:val="tx1"/>
                  </w14:solidFill>
                </w14:textFill>
              </w:rPr>
              <w:t>鲜</w:t>
            </w:r>
          </w:p>
        </w:tc>
        <w:tc>
          <w:tcPr>
            <w:tcW w:w="2292" w:type="pct"/>
            <w:vAlign w:val="center"/>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册亨县中医院</w:t>
            </w:r>
          </w:p>
        </w:tc>
        <w:tc>
          <w:tcPr>
            <w:tcW w:w="1669" w:type="pct"/>
            <w:vAlign w:val="center"/>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标准资料预研，标准编制</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477" w:type="pct"/>
            <w:vAlign w:val="center"/>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5</w:t>
            </w:r>
          </w:p>
        </w:tc>
        <w:tc>
          <w:tcPr>
            <w:tcW w:w="561" w:type="pct"/>
            <w:vAlign w:val="center"/>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 xml:space="preserve">张 </w:t>
            </w:r>
            <w:r>
              <w:rPr>
                <w:rFonts w:asciiTheme="minorEastAsia" w:hAnsiTheme="minorEastAsia"/>
                <w:color w:val="000000" w:themeColor="text1"/>
                <w:szCs w:val="21"/>
                <w14:textFill>
                  <w14:solidFill>
                    <w14:schemeClr w14:val="tx1"/>
                  </w14:solidFill>
                </w14:textFill>
              </w:rPr>
              <w:t xml:space="preserve"> </w:t>
            </w:r>
            <w:r>
              <w:rPr>
                <w:rFonts w:hint="eastAsia" w:asciiTheme="minorEastAsia" w:hAnsiTheme="minorEastAsia"/>
                <w:color w:val="000000" w:themeColor="text1"/>
                <w:szCs w:val="21"/>
                <w14:textFill>
                  <w14:solidFill>
                    <w14:schemeClr w14:val="tx1"/>
                  </w14:solidFill>
                </w14:textFill>
              </w:rPr>
              <w:t>平</w:t>
            </w:r>
          </w:p>
        </w:tc>
        <w:tc>
          <w:tcPr>
            <w:tcW w:w="2292" w:type="pct"/>
            <w:vAlign w:val="center"/>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天柱县中医院</w:t>
            </w:r>
          </w:p>
        </w:tc>
        <w:tc>
          <w:tcPr>
            <w:tcW w:w="1669" w:type="pct"/>
            <w:vAlign w:val="center"/>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标准编制、关键指标核对</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477" w:type="pct"/>
            <w:vAlign w:val="center"/>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6</w:t>
            </w:r>
          </w:p>
        </w:tc>
        <w:tc>
          <w:tcPr>
            <w:tcW w:w="561" w:type="pct"/>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蒋泰媛</w:t>
            </w:r>
          </w:p>
        </w:tc>
        <w:tc>
          <w:tcPr>
            <w:tcW w:w="2292" w:type="pct"/>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黔东南州中医医院</w:t>
            </w:r>
          </w:p>
        </w:tc>
        <w:tc>
          <w:tcPr>
            <w:tcW w:w="1669" w:type="pct"/>
            <w:vAlign w:val="center"/>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技术指导</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477" w:type="pct"/>
            <w:vAlign w:val="center"/>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7</w:t>
            </w:r>
          </w:p>
        </w:tc>
        <w:tc>
          <w:tcPr>
            <w:tcW w:w="561" w:type="pct"/>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刘伟军</w:t>
            </w:r>
          </w:p>
        </w:tc>
        <w:tc>
          <w:tcPr>
            <w:tcW w:w="2292" w:type="pct"/>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黔东南州中医医院</w:t>
            </w:r>
          </w:p>
        </w:tc>
        <w:tc>
          <w:tcPr>
            <w:tcW w:w="1669" w:type="pct"/>
            <w:vAlign w:val="center"/>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技术指导</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477" w:type="pct"/>
            <w:vAlign w:val="center"/>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8</w:t>
            </w:r>
          </w:p>
        </w:tc>
        <w:tc>
          <w:tcPr>
            <w:tcW w:w="561" w:type="pct"/>
            <w:vAlign w:val="center"/>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包本会</w:t>
            </w:r>
          </w:p>
        </w:tc>
        <w:tc>
          <w:tcPr>
            <w:tcW w:w="2292" w:type="pct"/>
            <w:vAlign w:val="center"/>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毕节市七星关区中医妇幼集团医院</w:t>
            </w:r>
          </w:p>
        </w:tc>
        <w:tc>
          <w:tcPr>
            <w:tcW w:w="1669" w:type="pct"/>
            <w:vAlign w:val="center"/>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技术指导</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477" w:type="pct"/>
            <w:vAlign w:val="center"/>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9</w:t>
            </w:r>
          </w:p>
        </w:tc>
        <w:tc>
          <w:tcPr>
            <w:tcW w:w="561" w:type="pct"/>
            <w:vAlign w:val="center"/>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李彦霖</w:t>
            </w:r>
          </w:p>
        </w:tc>
        <w:tc>
          <w:tcPr>
            <w:tcW w:w="2292" w:type="pct"/>
            <w:vAlign w:val="center"/>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黔西市中医院</w:t>
            </w:r>
          </w:p>
        </w:tc>
        <w:tc>
          <w:tcPr>
            <w:tcW w:w="1669" w:type="pct"/>
            <w:vAlign w:val="center"/>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技术指导</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477" w:type="pct"/>
            <w:vAlign w:val="center"/>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10</w:t>
            </w:r>
          </w:p>
        </w:tc>
        <w:tc>
          <w:tcPr>
            <w:tcW w:w="561" w:type="pct"/>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 xml:space="preserve">彭 </w:t>
            </w:r>
            <w:r>
              <w:rPr>
                <w:rFonts w:asciiTheme="minorEastAsia" w:hAnsiTheme="minorEastAsia"/>
                <w:color w:val="000000" w:themeColor="text1"/>
                <w:szCs w:val="21"/>
                <w14:textFill>
                  <w14:solidFill>
                    <w14:schemeClr w14:val="tx1"/>
                  </w14:solidFill>
                </w14:textFill>
              </w:rPr>
              <w:t xml:space="preserve"> </w:t>
            </w:r>
            <w:r>
              <w:rPr>
                <w:rFonts w:hint="eastAsia" w:asciiTheme="minorEastAsia" w:hAnsiTheme="minorEastAsia"/>
                <w:color w:val="000000" w:themeColor="text1"/>
                <w:szCs w:val="21"/>
                <w14:textFill>
                  <w14:solidFill>
                    <w14:schemeClr w14:val="tx1"/>
                  </w14:solidFill>
                </w14:textFill>
              </w:rPr>
              <w:t>强</w:t>
            </w:r>
          </w:p>
        </w:tc>
        <w:tc>
          <w:tcPr>
            <w:tcW w:w="2292" w:type="pct"/>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石阡县中医医院</w:t>
            </w:r>
          </w:p>
        </w:tc>
        <w:tc>
          <w:tcPr>
            <w:tcW w:w="1669" w:type="pct"/>
            <w:vAlign w:val="center"/>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技术指导</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477" w:type="pct"/>
            <w:vAlign w:val="center"/>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11</w:t>
            </w:r>
          </w:p>
        </w:tc>
        <w:tc>
          <w:tcPr>
            <w:tcW w:w="561" w:type="pct"/>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涂江龙</w:t>
            </w:r>
          </w:p>
        </w:tc>
        <w:tc>
          <w:tcPr>
            <w:tcW w:w="2292" w:type="pct"/>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务川仡佬族苗族自治县中医医院</w:t>
            </w:r>
          </w:p>
        </w:tc>
        <w:tc>
          <w:tcPr>
            <w:tcW w:w="1669" w:type="pct"/>
            <w:vAlign w:val="center"/>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技术指导</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477" w:type="pct"/>
            <w:vAlign w:val="center"/>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12</w:t>
            </w:r>
          </w:p>
        </w:tc>
        <w:tc>
          <w:tcPr>
            <w:tcW w:w="561" w:type="pct"/>
            <w:vAlign w:val="center"/>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唐本顺</w:t>
            </w:r>
          </w:p>
        </w:tc>
        <w:tc>
          <w:tcPr>
            <w:tcW w:w="2292" w:type="pct"/>
            <w:vAlign w:val="center"/>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册亨县人民医院</w:t>
            </w:r>
          </w:p>
        </w:tc>
        <w:tc>
          <w:tcPr>
            <w:tcW w:w="1669" w:type="pct"/>
            <w:vAlign w:val="center"/>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项目标准编制统筹</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477" w:type="pct"/>
            <w:vAlign w:val="center"/>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13</w:t>
            </w:r>
          </w:p>
        </w:tc>
        <w:tc>
          <w:tcPr>
            <w:tcW w:w="561" w:type="pct"/>
            <w:vAlign w:val="center"/>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 xml:space="preserve">马 </w:t>
            </w:r>
            <w:r>
              <w:rPr>
                <w:rFonts w:asciiTheme="minorEastAsia" w:hAnsiTheme="minorEastAsia"/>
                <w:color w:val="000000" w:themeColor="text1"/>
                <w:szCs w:val="21"/>
                <w14:textFill>
                  <w14:solidFill>
                    <w14:schemeClr w14:val="tx1"/>
                  </w14:solidFill>
                </w14:textFill>
              </w:rPr>
              <w:t xml:space="preserve"> </w:t>
            </w:r>
            <w:r>
              <w:rPr>
                <w:rFonts w:hint="eastAsia" w:asciiTheme="minorEastAsia" w:hAnsiTheme="minorEastAsia"/>
                <w:color w:val="000000" w:themeColor="text1"/>
                <w:szCs w:val="21"/>
                <w14:textFill>
                  <w14:solidFill>
                    <w14:schemeClr w14:val="tx1"/>
                  </w14:solidFill>
                </w14:textFill>
              </w:rPr>
              <w:t>玲</w:t>
            </w:r>
          </w:p>
        </w:tc>
        <w:tc>
          <w:tcPr>
            <w:tcW w:w="2292" w:type="pct"/>
            <w:vAlign w:val="center"/>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册亨县人民医院</w:t>
            </w:r>
          </w:p>
        </w:tc>
        <w:tc>
          <w:tcPr>
            <w:tcW w:w="1669" w:type="pct"/>
            <w:vAlign w:val="center"/>
          </w:tcPr>
          <w:p>
            <w:pPr>
              <w:spacing w:line="560" w:lineRule="exact"/>
              <w:jc w:val="cente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标准资料搜集、整理、归档</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477" w:type="pct"/>
            <w:vAlign w:val="center"/>
          </w:tcPr>
          <w:p>
            <w:pPr>
              <w:spacing w:line="560" w:lineRule="exact"/>
              <w:jc w:val="center"/>
              <w:rPr>
                <w:rFonts w:hint="eastAsia"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14</w:t>
            </w:r>
          </w:p>
        </w:tc>
        <w:tc>
          <w:tcPr>
            <w:tcW w:w="561" w:type="pct"/>
            <w:vAlign w:val="center"/>
          </w:tcPr>
          <w:p>
            <w:pPr>
              <w:spacing w:line="560" w:lineRule="exact"/>
              <w:jc w:val="center"/>
              <w:rPr>
                <w:rFonts w:hint="eastAsia"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 xml:space="preserve">杨 </w:t>
            </w:r>
            <w:r>
              <w:rPr>
                <w:rFonts w:asciiTheme="minorEastAsia" w:hAnsiTheme="minorEastAsia"/>
                <w:color w:val="000000" w:themeColor="text1"/>
                <w:szCs w:val="21"/>
                <w14:textFill>
                  <w14:solidFill>
                    <w14:schemeClr w14:val="tx1"/>
                  </w14:solidFill>
                </w14:textFill>
              </w:rPr>
              <w:t xml:space="preserve"> </w:t>
            </w:r>
            <w:r>
              <w:rPr>
                <w:rFonts w:hint="eastAsia" w:asciiTheme="minorEastAsia" w:hAnsiTheme="minorEastAsia"/>
                <w:color w:val="000000" w:themeColor="text1"/>
                <w:szCs w:val="21"/>
                <w14:textFill>
                  <w14:solidFill>
                    <w14:schemeClr w14:val="tx1"/>
                  </w14:solidFill>
                </w14:textFill>
              </w:rPr>
              <w:t>斌</w:t>
            </w:r>
          </w:p>
        </w:tc>
        <w:tc>
          <w:tcPr>
            <w:tcW w:w="2292" w:type="pct"/>
            <w:vAlign w:val="center"/>
          </w:tcPr>
          <w:p>
            <w:pPr>
              <w:spacing w:line="560" w:lineRule="exact"/>
              <w:jc w:val="center"/>
              <w:rPr>
                <w:rFonts w:hint="eastAsia"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安龙县人民医院</w:t>
            </w:r>
          </w:p>
        </w:tc>
        <w:tc>
          <w:tcPr>
            <w:tcW w:w="1669" w:type="pct"/>
            <w:vAlign w:val="center"/>
          </w:tcPr>
          <w:p>
            <w:pPr>
              <w:spacing w:line="560" w:lineRule="exact"/>
              <w:jc w:val="center"/>
              <w:rPr>
                <w:rFonts w:hint="eastAsia"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标准资料搜集、整理、归档</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477" w:type="pct"/>
            <w:vAlign w:val="center"/>
          </w:tcPr>
          <w:p>
            <w:pPr>
              <w:spacing w:line="560" w:lineRule="exact"/>
              <w:jc w:val="center"/>
              <w:rPr>
                <w:rFonts w:hint="eastAsia"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15</w:t>
            </w:r>
          </w:p>
        </w:tc>
        <w:tc>
          <w:tcPr>
            <w:tcW w:w="561" w:type="pct"/>
            <w:vAlign w:val="center"/>
          </w:tcPr>
          <w:p>
            <w:pPr>
              <w:spacing w:line="560" w:lineRule="exact"/>
              <w:jc w:val="center"/>
              <w:rPr>
                <w:rFonts w:hint="eastAsia"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李彦霖</w:t>
            </w:r>
          </w:p>
        </w:tc>
        <w:tc>
          <w:tcPr>
            <w:tcW w:w="2292" w:type="pct"/>
            <w:vAlign w:val="center"/>
          </w:tcPr>
          <w:p>
            <w:pPr>
              <w:spacing w:line="560" w:lineRule="exact"/>
              <w:jc w:val="center"/>
              <w:rPr>
                <w:rFonts w:hint="eastAsia"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黔西市中医医院</w:t>
            </w:r>
          </w:p>
        </w:tc>
        <w:tc>
          <w:tcPr>
            <w:tcW w:w="1669" w:type="pct"/>
            <w:vAlign w:val="center"/>
          </w:tcPr>
          <w:p>
            <w:pPr>
              <w:spacing w:line="560" w:lineRule="exact"/>
              <w:jc w:val="center"/>
              <w:rPr>
                <w:rFonts w:hint="eastAsia"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技术指导</w:t>
            </w:r>
          </w:p>
        </w:tc>
      </w:tr>
    </w:tbl>
    <w:p>
      <w:pPr>
        <w:pStyle w:val="9"/>
        <w:numPr>
          <w:ilvl w:val="0"/>
          <w:numId w:val="3"/>
        </w:numPr>
        <w:spacing w:before="156" w:beforeLines="50" w:after="156" w:afterLines="50" w:line="560" w:lineRule="exact"/>
        <w:ind w:firstLineChars="0"/>
        <w:jc w:val="left"/>
        <w:rPr>
          <w:rFonts w:ascii="黑体" w:hAnsi="黑体" w:eastAsia="黑体"/>
          <w:sz w:val="28"/>
          <w:szCs w:val="28"/>
        </w:rPr>
      </w:pPr>
      <w:r>
        <w:rPr>
          <w:rFonts w:hint="eastAsia" w:ascii="黑体" w:hAnsi="黑体" w:eastAsia="黑体"/>
          <w:sz w:val="28"/>
          <w:szCs w:val="28"/>
        </w:rPr>
        <w:t>制定标准的原则和依据</w:t>
      </w:r>
    </w:p>
    <w:p>
      <w:pPr>
        <w:pStyle w:val="9"/>
        <w:numPr>
          <w:ilvl w:val="0"/>
          <w:numId w:val="5"/>
        </w:numPr>
        <w:spacing w:after="156" w:afterLines="50" w:line="560" w:lineRule="exact"/>
        <w:ind w:firstLineChars="0"/>
        <w:rPr>
          <w:rFonts w:ascii="楷体_GB2312" w:hAnsi="黑体" w:eastAsia="楷体_GB2312"/>
          <w:sz w:val="28"/>
          <w:szCs w:val="28"/>
        </w:rPr>
      </w:pPr>
      <w:r>
        <w:rPr>
          <w:rFonts w:hint="eastAsia" w:ascii="楷体_GB2312" w:hAnsi="黑体" w:eastAsia="楷体_GB2312"/>
          <w:sz w:val="28"/>
          <w:szCs w:val="28"/>
        </w:rPr>
        <w:t>标准编制原则</w:t>
      </w:r>
    </w:p>
    <w:p>
      <w:pPr>
        <w:pStyle w:val="9"/>
        <w:spacing w:line="560" w:lineRule="exact"/>
        <w:ind w:firstLine="560"/>
        <w:jc w:val="left"/>
        <w:rPr>
          <w:rFonts w:ascii="仿宋_GB2312" w:eastAsia="仿宋_GB2312" w:hAnsiTheme="minorEastAsia"/>
          <w:sz w:val="28"/>
          <w:szCs w:val="28"/>
        </w:rPr>
      </w:pPr>
      <w:r>
        <w:rPr>
          <w:rFonts w:hint="eastAsia" w:ascii="仿宋_GB2312" w:eastAsia="仿宋_GB2312" w:hAnsiTheme="minorEastAsia"/>
          <w:sz w:val="28"/>
          <w:szCs w:val="28"/>
        </w:rPr>
        <w:t>1.合规性原则</w:t>
      </w:r>
    </w:p>
    <w:p>
      <w:pPr>
        <w:pStyle w:val="9"/>
        <w:spacing w:line="560" w:lineRule="exact"/>
        <w:ind w:firstLine="560"/>
        <w:jc w:val="left"/>
        <w:rPr>
          <w:rFonts w:ascii="仿宋_GB2312" w:eastAsia="仿宋_GB2312" w:hAnsiTheme="minorEastAsia"/>
          <w:sz w:val="28"/>
          <w:szCs w:val="28"/>
        </w:rPr>
      </w:pPr>
      <w:r>
        <w:rPr>
          <w:rFonts w:hint="eastAsia" w:ascii="仿宋_GB2312" w:eastAsia="仿宋_GB2312" w:hAnsiTheme="minorEastAsia"/>
          <w:sz w:val="28"/>
          <w:szCs w:val="28"/>
        </w:rPr>
        <w:t>标准编制符合相关法律法规与国家强制标准的要求。</w:t>
      </w:r>
    </w:p>
    <w:p>
      <w:pPr>
        <w:pStyle w:val="9"/>
        <w:spacing w:line="560" w:lineRule="exact"/>
        <w:ind w:firstLine="560"/>
        <w:jc w:val="left"/>
        <w:rPr>
          <w:rFonts w:ascii="仿宋_GB2312" w:eastAsia="仿宋_GB2312" w:hAnsiTheme="minorEastAsia"/>
          <w:sz w:val="28"/>
          <w:szCs w:val="28"/>
        </w:rPr>
      </w:pPr>
      <w:r>
        <w:rPr>
          <w:rFonts w:hint="eastAsia" w:ascii="仿宋_GB2312" w:eastAsia="仿宋_GB2312" w:hAnsiTheme="minorEastAsia"/>
          <w:sz w:val="28"/>
          <w:szCs w:val="28"/>
        </w:rPr>
        <w:t>2.适用性原则</w:t>
      </w:r>
    </w:p>
    <w:p>
      <w:pPr>
        <w:pStyle w:val="9"/>
        <w:spacing w:line="560" w:lineRule="exact"/>
        <w:ind w:firstLine="560"/>
        <w:jc w:val="left"/>
        <w:rPr>
          <w:rFonts w:ascii="仿宋_GB2312" w:eastAsia="仿宋_GB2312" w:hAnsiTheme="minorEastAsia"/>
          <w:sz w:val="28"/>
          <w:szCs w:val="28"/>
        </w:rPr>
      </w:pPr>
      <w:r>
        <w:rPr>
          <w:rFonts w:hint="eastAsia" w:ascii="仿宋_GB2312" w:eastAsia="仿宋_GB2312" w:hAnsiTheme="minorEastAsia"/>
          <w:sz w:val="28"/>
          <w:szCs w:val="28"/>
        </w:rPr>
        <w:t>在充分梳理、分析牵头单位的想法和需求，对布依族医经典病房建设指南的术语和定义、范围和内容、环境与设施、流程，质量控制与保障等内容等作出要求，为布依族医经典病房的建设等提供有效的指导。</w:t>
      </w:r>
    </w:p>
    <w:p>
      <w:pPr>
        <w:pStyle w:val="9"/>
        <w:spacing w:line="560" w:lineRule="exact"/>
        <w:ind w:firstLine="560"/>
        <w:jc w:val="left"/>
        <w:rPr>
          <w:rFonts w:ascii="仿宋_GB2312" w:eastAsia="仿宋_GB2312" w:hAnsiTheme="minorEastAsia"/>
          <w:sz w:val="28"/>
          <w:szCs w:val="28"/>
        </w:rPr>
      </w:pPr>
      <w:r>
        <w:rPr>
          <w:rFonts w:hint="eastAsia" w:ascii="仿宋_GB2312" w:eastAsia="仿宋_GB2312" w:hAnsiTheme="minorEastAsia"/>
          <w:sz w:val="28"/>
          <w:szCs w:val="28"/>
        </w:rPr>
        <w:t>3.目的性原则</w:t>
      </w:r>
    </w:p>
    <w:p>
      <w:pPr>
        <w:pStyle w:val="9"/>
        <w:spacing w:line="560" w:lineRule="exact"/>
        <w:ind w:firstLine="560"/>
        <w:jc w:val="left"/>
        <w:rPr>
          <w:rFonts w:hint="eastAsia" w:ascii="仿宋_GB2312" w:eastAsia="仿宋_GB2312" w:hAnsiTheme="minorEastAsia"/>
          <w:sz w:val="28"/>
          <w:szCs w:val="28"/>
        </w:rPr>
      </w:pPr>
      <w:r>
        <w:rPr>
          <w:rFonts w:hint="eastAsia" w:ascii="仿宋_GB2312" w:eastAsia="仿宋_GB2312" w:hAnsiTheme="minorEastAsia"/>
          <w:sz w:val="28"/>
          <w:szCs w:val="28"/>
        </w:rPr>
        <w:t>布依族医经典病房通过运用布依族医药理论，充分发挥布依族医药特色与优势，积极探索运用主导的布依族医药疗法，开展各种优势病种的诊治工作，形成布依族医药主导的诊疗方案并向其他临床科室推广，达到全面提升布依族医药临床服务水平及目标，主攻病种布依族医药疗法参与治疗率应达100%，主攻病种为主的布依族医药疗法治疗率应达90%。</w:t>
      </w:r>
    </w:p>
    <w:p>
      <w:pPr>
        <w:pStyle w:val="9"/>
        <w:spacing w:line="560" w:lineRule="exact"/>
        <w:ind w:firstLine="560"/>
        <w:jc w:val="left"/>
        <w:rPr>
          <w:rFonts w:ascii="仿宋_GB2312" w:eastAsia="仿宋_GB2312" w:hAnsiTheme="minorEastAsia"/>
          <w:sz w:val="28"/>
          <w:szCs w:val="28"/>
        </w:rPr>
      </w:pPr>
      <w:r>
        <w:rPr>
          <w:rFonts w:hint="eastAsia" w:ascii="仿宋_GB2312" w:eastAsia="仿宋_GB2312" w:hAnsiTheme="minorEastAsia"/>
          <w:sz w:val="28"/>
          <w:szCs w:val="28"/>
        </w:rPr>
        <w:t>本文件旨在规范布依族医经典病房建设与管理，拓展布依族医服务能力，为人民群众提供安全、有效的布依族医药，同时为行业主管部门科学评价布依族医经典病房服务能力提供参考。</w:t>
      </w:r>
    </w:p>
    <w:p>
      <w:pPr>
        <w:pStyle w:val="9"/>
        <w:spacing w:line="560" w:lineRule="exact"/>
        <w:ind w:firstLine="560"/>
        <w:jc w:val="left"/>
        <w:rPr>
          <w:rFonts w:ascii="仿宋_GB2312" w:eastAsia="仿宋_GB2312" w:hAnsiTheme="minorEastAsia"/>
          <w:sz w:val="28"/>
          <w:szCs w:val="28"/>
        </w:rPr>
      </w:pPr>
      <w:r>
        <w:rPr>
          <w:rFonts w:hint="eastAsia" w:ascii="仿宋_GB2312" w:eastAsia="仿宋_GB2312" w:hAnsiTheme="minorEastAsia"/>
          <w:sz w:val="28"/>
          <w:szCs w:val="28"/>
        </w:rPr>
        <w:t>4.规范性原则</w:t>
      </w:r>
    </w:p>
    <w:p>
      <w:pPr>
        <w:pStyle w:val="9"/>
        <w:spacing w:line="560" w:lineRule="exact"/>
        <w:ind w:firstLine="560"/>
        <w:jc w:val="left"/>
        <w:rPr>
          <w:rFonts w:ascii="仿宋_GB2312" w:eastAsia="仿宋_GB2312" w:hAnsiTheme="minorEastAsia"/>
          <w:sz w:val="28"/>
          <w:szCs w:val="28"/>
        </w:rPr>
      </w:pPr>
      <w:r>
        <w:rPr>
          <w:rFonts w:hint="eastAsia" w:ascii="仿宋_GB2312" w:hAnsi="楷体" w:eastAsia="仿宋_GB2312" w:cs="Times New Roman"/>
          <w:kern w:val="0"/>
          <w:sz w:val="28"/>
          <w:szCs w:val="28"/>
        </w:rPr>
        <w:t>本标准编写格式依据 GB/T 1.1-2020《标准化工作导则第 1 部分：</w:t>
      </w:r>
      <w:r>
        <w:rPr>
          <w:rFonts w:hint="eastAsia" w:ascii="仿宋_GB2312" w:eastAsia="仿宋_GB2312" w:hAnsiTheme="minorEastAsia"/>
          <w:sz w:val="28"/>
          <w:szCs w:val="28"/>
        </w:rPr>
        <w:t>标准化文件的结构和起草规则</w:t>
      </w:r>
      <w:r>
        <w:rPr>
          <w:rFonts w:hint="eastAsia" w:ascii="仿宋_GB2312" w:hAnsi="楷体" w:eastAsia="仿宋_GB2312" w:cs="Times New Roman"/>
          <w:kern w:val="0"/>
          <w:sz w:val="28"/>
          <w:szCs w:val="28"/>
        </w:rPr>
        <w:t>》给出的规则编写。</w:t>
      </w:r>
    </w:p>
    <w:p>
      <w:pPr>
        <w:pStyle w:val="9"/>
        <w:numPr>
          <w:ilvl w:val="0"/>
          <w:numId w:val="5"/>
        </w:numPr>
        <w:spacing w:after="156" w:afterLines="50" w:line="560" w:lineRule="exact"/>
        <w:ind w:firstLineChars="0"/>
        <w:rPr>
          <w:rFonts w:ascii="楷体_GB2312" w:hAnsi="黑体" w:eastAsia="楷体_GB2312"/>
          <w:sz w:val="28"/>
          <w:szCs w:val="28"/>
        </w:rPr>
      </w:pPr>
      <w:r>
        <w:rPr>
          <w:rFonts w:hint="eastAsia" w:ascii="楷体_GB2312" w:hAnsi="黑体" w:eastAsia="楷体_GB2312"/>
          <w:sz w:val="28"/>
          <w:szCs w:val="28"/>
        </w:rPr>
        <w:t>标准编制依据</w:t>
      </w:r>
    </w:p>
    <w:p>
      <w:pPr>
        <w:spacing w:line="56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本标准共计引用了3项标准及法规，分别为：</w:t>
      </w:r>
    </w:p>
    <w:p>
      <w:pPr>
        <w:pStyle w:val="10"/>
        <w:spacing w:line="560" w:lineRule="exact"/>
        <w:ind w:firstLine="700" w:firstLineChars="250"/>
        <w:rPr>
          <w:rFonts w:hint="eastAsia" w:ascii="仿宋_GB2312" w:eastAsia="仿宋_GB2312" w:hAnsiTheme="minorEastAsia" w:cstheme="minorBidi"/>
          <w:kern w:val="2"/>
          <w:sz w:val="28"/>
          <w:szCs w:val="28"/>
        </w:rPr>
      </w:pPr>
      <w:r>
        <w:rPr>
          <w:rFonts w:hint="eastAsia" w:ascii="仿宋_GB2312" w:eastAsia="仿宋_GB2312" w:hAnsiTheme="minorEastAsia" w:cstheme="minorBidi"/>
          <w:kern w:val="2"/>
          <w:sz w:val="28"/>
          <w:szCs w:val="28"/>
        </w:rPr>
        <w:t>WS 308-2019 医疗机构消防安全管理</w:t>
      </w:r>
    </w:p>
    <w:p>
      <w:pPr>
        <w:pStyle w:val="10"/>
        <w:spacing w:line="560" w:lineRule="exact"/>
        <w:ind w:firstLine="700" w:firstLineChars="250"/>
        <w:rPr>
          <w:rFonts w:hint="eastAsia" w:ascii="仿宋_GB2312" w:eastAsia="仿宋_GB2312" w:hAnsiTheme="minorEastAsia" w:cstheme="minorBidi"/>
          <w:kern w:val="2"/>
          <w:sz w:val="28"/>
          <w:szCs w:val="28"/>
        </w:rPr>
      </w:pPr>
      <w:r>
        <w:rPr>
          <w:rFonts w:hint="eastAsia" w:ascii="仿宋_GB2312" w:eastAsia="仿宋_GB2312" w:hAnsiTheme="minorEastAsia" w:cstheme="minorBidi"/>
          <w:kern w:val="2"/>
          <w:sz w:val="28"/>
          <w:szCs w:val="28"/>
        </w:rPr>
        <w:t>WS/T 367-2012医疗机构消毒技术规范</w:t>
      </w:r>
    </w:p>
    <w:p>
      <w:pPr>
        <w:pStyle w:val="10"/>
        <w:spacing w:line="560" w:lineRule="exact"/>
        <w:ind w:left="720" w:firstLine="0" w:firstLineChars="0"/>
        <w:rPr>
          <w:rFonts w:ascii="仿宋_GB2312" w:eastAsia="仿宋_GB2312" w:hAnsiTheme="minorEastAsia" w:cstheme="minorBidi"/>
          <w:kern w:val="2"/>
          <w:sz w:val="28"/>
          <w:szCs w:val="28"/>
        </w:rPr>
      </w:pPr>
      <w:r>
        <w:rPr>
          <w:rFonts w:hint="eastAsia" w:ascii="仿宋_GB2312" w:eastAsia="仿宋_GB2312" w:hAnsiTheme="minorEastAsia" w:cstheme="minorBidi"/>
          <w:kern w:val="2"/>
          <w:sz w:val="28"/>
          <w:szCs w:val="28"/>
        </w:rPr>
        <w:t>T/CARM 001-2021 中医医院康复科建设标准南</w:t>
      </w:r>
    </w:p>
    <w:p>
      <w:pPr>
        <w:pStyle w:val="9"/>
        <w:numPr>
          <w:ilvl w:val="0"/>
          <w:numId w:val="3"/>
        </w:numPr>
        <w:spacing w:before="156" w:beforeLines="50" w:after="156" w:afterLines="50" w:line="560" w:lineRule="exact"/>
        <w:ind w:firstLineChars="0"/>
        <w:jc w:val="left"/>
        <w:rPr>
          <w:rFonts w:ascii="黑体" w:hAnsi="黑体" w:eastAsia="黑体"/>
          <w:sz w:val="28"/>
          <w:szCs w:val="28"/>
        </w:rPr>
      </w:pPr>
      <w:r>
        <w:rPr>
          <w:rFonts w:hint="eastAsia" w:ascii="黑体" w:hAnsi="黑体" w:eastAsia="黑体"/>
          <w:sz w:val="28"/>
          <w:szCs w:val="28"/>
        </w:rPr>
        <w:t>主要条款的说明</w:t>
      </w:r>
    </w:p>
    <w:p>
      <w:pPr>
        <w:pStyle w:val="9"/>
        <w:numPr>
          <w:ilvl w:val="0"/>
          <w:numId w:val="6"/>
        </w:numPr>
        <w:spacing w:after="156" w:afterLines="50" w:line="560" w:lineRule="exact"/>
        <w:ind w:firstLineChars="0"/>
        <w:rPr>
          <w:rFonts w:ascii="楷体_GB2312" w:hAnsi="黑体" w:eastAsia="楷体_GB2312"/>
          <w:sz w:val="28"/>
          <w:szCs w:val="28"/>
        </w:rPr>
      </w:pPr>
      <w:r>
        <w:rPr>
          <w:rFonts w:hint="eastAsia" w:ascii="楷体_GB2312" w:hAnsi="黑体" w:eastAsia="楷体_GB2312"/>
          <w:sz w:val="28"/>
          <w:szCs w:val="28"/>
        </w:rPr>
        <w:t>术语和定义</w:t>
      </w:r>
    </w:p>
    <w:p>
      <w:pPr>
        <w:spacing w:line="560" w:lineRule="exact"/>
        <w:ind w:firstLine="560" w:firstLineChars="200"/>
        <w:jc w:val="left"/>
        <w:rPr>
          <w:rFonts w:hint="eastAsia" w:ascii="仿宋_GB2312" w:eastAsia="仿宋_GB2312" w:hAnsiTheme="minorEastAsia"/>
          <w:sz w:val="28"/>
          <w:szCs w:val="28"/>
        </w:rPr>
      </w:pPr>
      <w:r>
        <w:rPr>
          <w:rFonts w:ascii="仿宋_GB2312" w:eastAsia="仿宋_GB2312" w:hAnsiTheme="minorEastAsia"/>
          <w:sz w:val="28"/>
          <w:szCs w:val="28"/>
        </w:rPr>
        <w:t xml:space="preserve">3.1    </w:t>
      </w:r>
      <w:r>
        <w:rPr>
          <w:rFonts w:hint="eastAsia" w:ascii="仿宋_GB2312" w:eastAsia="仿宋_GB2312" w:hAnsiTheme="minorEastAsia"/>
          <w:sz w:val="28"/>
          <w:szCs w:val="28"/>
        </w:rPr>
        <w:t>布依族医药（Buyi Medical）</w:t>
      </w:r>
    </w:p>
    <w:p>
      <w:pPr>
        <w:spacing w:line="560" w:lineRule="exact"/>
        <w:ind w:firstLine="560" w:firstLineChars="200"/>
        <w:jc w:val="left"/>
        <w:rPr>
          <w:rFonts w:hint="eastAsia" w:ascii="仿宋_GB2312" w:eastAsia="仿宋_GB2312" w:hAnsiTheme="minorEastAsia"/>
          <w:sz w:val="28"/>
          <w:szCs w:val="28"/>
        </w:rPr>
      </w:pPr>
      <w:r>
        <w:rPr>
          <w:rFonts w:hint="eastAsia" w:ascii="仿宋_GB2312" w:eastAsia="仿宋_GB2312" w:hAnsiTheme="minorEastAsia"/>
          <w:sz w:val="28"/>
          <w:szCs w:val="28"/>
        </w:rPr>
        <w:t xml:space="preserve">    以布依族医药理论与实践经验为主体,研究人类生命活动中医学中健康与疾病转化规律及其预防、诊断、治疗、康复和保健的综合性科学。</w:t>
      </w:r>
    </w:p>
    <w:p>
      <w:pPr>
        <w:spacing w:line="560" w:lineRule="exact"/>
        <w:ind w:firstLine="560" w:firstLineChars="200"/>
        <w:jc w:val="left"/>
        <w:rPr>
          <w:rFonts w:hint="eastAsia" w:ascii="仿宋_GB2312" w:eastAsia="仿宋_GB2312" w:hAnsiTheme="minorEastAsia"/>
          <w:sz w:val="28"/>
          <w:szCs w:val="28"/>
        </w:rPr>
      </w:pPr>
      <w:r>
        <w:rPr>
          <w:rFonts w:ascii="仿宋_GB2312" w:eastAsia="仿宋_GB2312" w:hAnsiTheme="minorEastAsia"/>
          <w:sz w:val="28"/>
          <w:szCs w:val="28"/>
        </w:rPr>
        <w:t xml:space="preserve">3.2    </w:t>
      </w:r>
      <w:r>
        <w:rPr>
          <w:rFonts w:hint="eastAsia" w:ascii="仿宋_GB2312" w:eastAsia="仿宋_GB2312" w:hAnsiTheme="minorEastAsia"/>
          <w:sz w:val="28"/>
          <w:szCs w:val="28"/>
        </w:rPr>
        <w:t>布依族医经典病房（Buyi Medical Classic Ward）</w:t>
      </w:r>
    </w:p>
    <w:p>
      <w:pPr>
        <w:spacing w:line="56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主要指运用布依族医理论与方法，以布依族医药疗法技术为主，辅以方药、器械及其他相关医学诊疗手段为患者提供医疗、预防、保健等服务的病房。。</w:t>
      </w:r>
    </w:p>
    <w:p>
      <w:pPr>
        <w:pStyle w:val="9"/>
        <w:numPr>
          <w:ilvl w:val="0"/>
          <w:numId w:val="6"/>
        </w:numPr>
        <w:spacing w:after="156" w:afterLines="50" w:line="560" w:lineRule="exact"/>
        <w:ind w:firstLineChars="0"/>
        <w:rPr>
          <w:rFonts w:ascii="楷体_GB2312" w:hAnsi="黑体" w:eastAsia="楷体_GB2312"/>
          <w:sz w:val="28"/>
          <w:szCs w:val="28"/>
        </w:rPr>
      </w:pPr>
      <w:r>
        <w:rPr>
          <w:rFonts w:hint="eastAsia" w:ascii="楷体_GB2312" w:hAnsi="黑体" w:eastAsia="楷体_GB2312"/>
          <w:sz w:val="28"/>
          <w:szCs w:val="28"/>
        </w:rPr>
        <w:t>技术要求</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4  病房设置</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4.2  布依族医病房</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布依族医病房可设置专病专科等。三级医院建议开设可包含2个以上专病专科内容，建议有条件者设置重症监护病房。二级医院建议设置布依族医病房，可包含1个以上专病专科内容。</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4.3  布依族医治疗区（室）</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布依族医病房应具备布依族医外治区（室）。</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5  场地规模与环境形象</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5.1  场地规模</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5.1.1  布依族医治疗区（室）</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三级医院布依族医治疗区（室）总使用面积不少于30平方米，二级医院布依族医治疗区（室）总使用面积不少于25平方米，社区医院布依族医治疗区（室）总使用面积不少于15平方米，单个治疗室净使用面积应大于15平方米。布局需合理，保障患者隐私，男女分区，就诊流程便捷及符合医院感染管理规范要求。</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5.1.2 布依族医病房</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三级医院布依族医病房床位总数15张以上：二级医院布依族医病房床位总数10张以上，病房每床净使用面积以8~10平方米为宜，床间距大于1.2米。</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5.2  环境形象</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5. 2. 1 基本要求</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布依族医病房应根据本单位和本科室的实际情况，遵循“以病人为中心”的服务宗旨，以“便利、舒适、整洁、温馨”为环境形象的基本原则，注重突出布依族医药特色优势，公用场所应有无障碍设计，各相关区域应有保护患者隐私的设置。在医疗机构适当位置，用汉语标示布依族医病房的指示牌和路牌；少数民族地区可同时用汉语和少数民族语言标示；有需要的医疗机构可附加外语标识；有条件的医疗机构可提供触模式语言提示系统。</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5. 2. 2 建设区域</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布依族医病房环境形象建设的重点区域包括病房出入通道、病房走廊、布依族医治疗区（室）、布依族医病房内部等。</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5. 2. 3 建设内容</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布依族医病房的内部装饰，根据不同的区域、内容，可以采用摆放人体骨骼肌肉系统模型，悬挂经络、穴位等相关知识的挂图等，设立布依族医药常识宣传栏，开设橱窗、展柜、触摸屏、视频网络、宣传折页等。重点传播布依族医药特色和优势，营造良好的布依族医药文化氛围。宣传知识、介绍方法和彰显布依族医药特色康复的具体内容，应使用布依族医病名和布依族医术语，并依据病种的变化及时调整。有条件的布依族医病房外部可设置布依族医药健康宣教栏，宣传内容科学规范，并依据季节等变化面及时调整、更换。</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6 设备设施</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6.1 基本要求：</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布依族医病房应当保证各类治疗设备、用物处于良好状态，完好率100%，每月至少维护检查1次，将相关检查记录登记在册。</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6.2 基本设备</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布依族医病房应根据临床需要配备必要的设备，主要包括不限于：快速血糖仪、血压计、体温计、体重计、医用冰箱、心电图机、微量泵、输液泵、营养输注泵、冰帽、吸引设备、中心负压吸引设备、供氧设备、中心供氧设备、空气消毒机、呼吸湿化治疗仪等。也可参照三级中医院基本设备并结合本专业实际需要配置。</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6.3专科设备</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6.3.1 评定设备</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布依族医病房根据需要配备中西医评定设备，包括中医床边治疗设备、中医康复设备等，有条件的医院可配置中医四诊采集分析设备，如中医舌象采集仪、中医脉象诊断仪、中医经络检测仪等。</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6.3.2治疗器具或用物</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开展专病专科的布依族医病房，应配备专病专科所需的其他诊疗设备。三级医院布依族医病房建议配置中药、针法、灸法、推拿、罐疗、物理治疗、作业治疗、认知治疗、言语吞咽治疗等设备。二级医院布依族医病房建议配置中药、针法、灸法、推拿、罐疗、物理治疗、作业治疗等设备。</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6.3.3 急救设备</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医院可根据收治病种结构，医院配置相应的抢救设备，包括不限于多参数监护设备、心脏除颤器、简易呼吸器、呼吸机、多功能抢救床、气管插管设备等。保障纤维支气管镜、电子冰毯、升温降温机、转运车、转运呼吸机、转运监护仪、辅助循环、血液净化机、床边X光、床边超声、床边生化血气仪等，医院抢救设备能够随时调配使用。</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6.3.4 信息化设备</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布依族医病房应配置自动化办公设备、智能显示设备等，布依族医病房信息化建设符合国家相关要求。三级医院布依族医病房至少配备4台工作电脑及打印机设备；二级医院布依族医病房至少配备3台工作电脑及打印机设备。</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6.3.5其他设施</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6.3.5.1应配备必要的急救器械和药品等。</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6.3.5.2应提供盛放医用垃圾的桶或袋，包括盛放废针具的锐器盒等。</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6.3.5.3按照 WS/T 367-2012的要求，配备必备的消毒剂和消毒设施空气消毒机。</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6.3.5.4按照WS 308-2019的规定，配备必要的消防器材和设施。</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6.3.5.5设置独立煎药区或与医院煎药室建立优先快捷配送机制，有条件的医院可配备临方炮制室，支持和保障不同功效的布依族医药膏、球、散等的制备和使用。</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7 人员配置</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7.1 人员配置要求</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三级医院布依族医病房每床至少配备0.25名执业医师、0.3名执业护士，其中中医类别执业医师占执业医师总数的70%以上，并根据需要配备其他类别的执业医师。二级医院布依族医病房每床至少配备0.15名执业医师、0.3名执业护士，其中中医类别执业医师占执业医师总数的60%以上，至少配备1名中医传统康复治疗人员（针灸/推拿）。各级医院布依族医病房专业技术人员层次、结构、年龄合理，岗位责任分工明确，团队协作稳定，具有支撑科室可持续发展的人才梯队。</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7.2 医生能力要求</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7.2.1宜具有扎实的中医基础理论和布依族医药医基础理论，娴熟的布依族医药外治疗法技术操作能力及持续学习的能力。</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7.2.2宜具有良好的临床能力，能运用中医基础理论和布依族医药基础理论，对患者进行评估、辨证分析，提出并处理健康问题，制定并实施布依族医药疗法方案，跟踪评价效果，达到良好的健康结局。</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7.2.3宜具有良好的组织管理与协调沟通能力，协调医护患关系。</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7.2.4宜具有领导和团队合作、协调能力。</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7.2.5宜具有有效的应急处置能力，能够应对、处置患者的突发情况。</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8 专科技术</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8.1 科普宣传</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布依族医病房人员应具备运用中西布依族医医理论和知识及相关媒介，开展预防、养生、保健、残障防治等相关科普教育的技术，提高人民群众对健康的认知，实现疾病的尽早发现、尽早诊断、尽早治疗。</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8.2 疾病治疗</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布依族医病房通过运用布依族医药理论，充分发挥布依族医药特色与优势，积极探索运用主导的布依族医药疗法，开展各种优势病种的诊治工作，形成布依族医药主导的诊疗方案并向其他临床科室推广，达到全面提升布依族医药临床服务水平及目标。布依族医病房应常规开展布依族医药外治技术，包括但不限于：布依族医筒熏针法、布依族医灸烤疗法、布依族医推拿疗法、布依族医捏筋疗法、布依族医滚橘（柚）疗法、布依族医履蛋疗法、布依族医火针疗法、布依族医针挑疗法、布依族医放血疗法、布依族医打瓦针疗法、布依族医收（抽）箭疗法、布依族医爆灯火疗法、布依族医天泡灸疗法、布依族医神灯照法、布依族医接骨疗法、布依族医拔毒根法、布依族医拔罐疗法、布依族医刮治疗法、布依族医热熨疗法、布依族医药物洗浴法、布依族医佩戴疗法、布依族医兜肚疗法、布依族医熏蒸疗法、布依族医烘烤疗法、布依族医睡药枕（床）法、布依族医纸媒筒疗法、布依族医吹筒疗法、布依族医灌肠疗法、布依族医割脂治法、布依族医烧姜疗法、布依族医移毒疗法。同时布依族医药病房应充分运用中医和西医理论知识及相关辅助检查，开展常见疾病及疑难病的中西医诊断（包括中医疾病诊断、中医证候诊断、西医疾病诊断）及基础治疗。</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8.3 疾病护理</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布依族医病房应具备开展基础护理技术、康复护理评估技术、康复护理治疗技术及中医康复特色护理技术。</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--基础护理技术主要包括无菌技术、常规给药方法指导、静脉输液法、导尿术、灌肠法、口腔护理、皮肤护理、心理护理、饮食护理等。</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--护理评估技术主要包括吞咽障碍筛查、跌倒风险评分、血栓风险评估、疼痛评估、营养风险筛查评估、膀胱残余尿量测定、压疮风险评估等。</w:t>
      </w:r>
    </w:p>
    <w:p>
      <w:pPr>
        <w:spacing w:after="156" w:afterLines="50" w:line="560" w:lineRule="exact"/>
        <w:ind w:left="300"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9.质量管理</w:t>
      </w:r>
    </w:p>
    <w:p>
      <w:pPr>
        <w:spacing w:after="156" w:afterLines="50" w:line="560" w:lineRule="exact"/>
        <w:ind w:left="300" w:firstLine="560" w:firstLineChars="200"/>
        <w:rPr>
          <w:rFonts w:ascii="仿宋_GB2312" w:eastAsia="仿宋_GB2312" w:hAnsiTheme="minorEastAsia"/>
          <w:sz w:val="28"/>
          <w:szCs w:val="28"/>
        </w:rPr>
      </w:pPr>
      <w:r>
        <w:rPr>
          <w:rFonts w:hint="eastAsia" w:ascii="仿宋_GB2312" w:eastAsia="仿宋_GB2312" w:hAnsiTheme="minorEastAsia"/>
          <w:sz w:val="28"/>
          <w:szCs w:val="28"/>
        </w:rPr>
        <w:t>参见T/CARM 001-2021第10章相关内容。</w:t>
      </w:r>
    </w:p>
    <w:p>
      <w:pPr>
        <w:pStyle w:val="9"/>
        <w:numPr>
          <w:ilvl w:val="0"/>
          <w:numId w:val="3"/>
        </w:numPr>
        <w:spacing w:line="560" w:lineRule="exact"/>
        <w:ind w:firstLineChars="0"/>
        <w:rPr>
          <w:rFonts w:ascii="黑体" w:hAnsi="黑体" w:eastAsia="黑体"/>
          <w:sz w:val="28"/>
          <w:szCs w:val="28"/>
        </w:rPr>
      </w:pPr>
      <w:r>
        <w:rPr>
          <w:rFonts w:hint="eastAsia" w:ascii="黑体" w:hAnsi="黑体" w:eastAsia="黑体"/>
          <w:sz w:val="28"/>
          <w:szCs w:val="28"/>
        </w:rPr>
        <w:t>主要试验（或验证）情况分析</w:t>
      </w:r>
    </w:p>
    <w:p>
      <w:pPr>
        <w:spacing w:line="56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 xml:space="preserve">标准编制工作组依据标准初稿中拟定的《布依族医经典病房管理与建设指南》的建设技术要求拟定在相关方中开展广泛调研，充分考虑各相关的方的需求及实际，并结合临床开展经验总结，充分考虑到《布依族医经典病房管理与建设指南》的建设现状与发展特点，制定了标准的适用范围。 </w:t>
      </w:r>
    </w:p>
    <w:p>
      <w:pPr>
        <w:pStyle w:val="9"/>
        <w:numPr>
          <w:ilvl w:val="0"/>
          <w:numId w:val="3"/>
        </w:numPr>
        <w:spacing w:line="560" w:lineRule="exact"/>
        <w:ind w:firstLineChars="0"/>
        <w:rPr>
          <w:rFonts w:ascii="黑体" w:hAnsi="黑体" w:eastAsia="黑体"/>
          <w:sz w:val="28"/>
          <w:szCs w:val="28"/>
        </w:rPr>
      </w:pPr>
      <w:r>
        <w:rPr>
          <w:rFonts w:hint="eastAsia" w:ascii="黑体" w:hAnsi="黑体" w:eastAsia="黑体"/>
          <w:sz w:val="28"/>
          <w:szCs w:val="28"/>
        </w:rPr>
        <w:t>标准中涉及专利情况</w:t>
      </w:r>
    </w:p>
    <w:p>
      <w:pPr>
        <w:spacing w:line="560" w:lineRule="exact"/>
        <w:ind w:firstLine="700" w:firstLineChars="250"/>
        <w:jc w:val="left"/>
        <w:rPr>
          <w:rFonts w:ascii="仿宋_GB2312" w:eastAsia="仿宋_GB2312" w:hAnsiTheme="minorEastAsia"/>
          <w:sz w:val="28"/>
          <w:szCs w:val="28"/>
        </w:rPr>
      </w:pPr>
      <w:r>
        <w:rPr>
          <w:rFonts w:hint="eastAsia" w:ascii="仿宋_GB2312" w:eastAsia="仿宋_GB2312" w:hAnsiTheme="minorEastAsia"/>
          <w:sz w:val="28"/>
          <w:szCs w:val="28"/>
        </w:rPr>
        <w:t>无</w:t>
      </w:r>
    </w:p>
    <w:p>
      <w:pPr>
        <w:pStyle w:val="9"/>
        <w:numPr>
          <w:ilvl w:val="0"/>
          <w:numId w:val="3"/>
        </w:numPr>
        <w:spacing w:line="560" w:lineRule="exact"/>
        <w:ind w:firstLineChars="0"/>
        <w:rPr>
          <w:rFonts w:ascii="黑体" w:hAnsi="黑体" w:eastAsia="黑体"/>
          <w:sz w:val="28"/>
          <w:szCs w:val="28"/>
        </w:rPr>
      </w:pPr>
      <w:r>
        <w:rPr>
          <w:rFonts w:hint="eastAsia" w:ascii="黑体" w:hAnsi="黑体" w:eastAsia="黑体"/>
          <w:sz w:val="28"/>
          <w:szCs w:val="28"/>
        </w:rPr>
        <w:t>产业化情况</w:t>
      </w:r>
    </w:p>
    <w:p>
      <w:pPr>
        <w:spacing w:line="560" w:lineRule="exact"/>
        <w:ind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布依族医药在预防、治疗、康复、保健等方面发挥着重要的作用，适用于内、外、妇、儿、五官科等疾病，特别是布依族医药外治疗法安全、有效且无毒副作用，深受广大群众的欢迎。当前在布依族医病房设置、布依族医药人才培养、布依族医病房场地设施配置、布依族医药技术应用规范等方面均缺乏统一建设与管理标准，制约了布依族医药行业的高质量发展。</w:t>
      </w:r>
    </w:p>
    <w:p>
      <w:pPr>
        <w:spacing w:line="560" w:lineRule="exact"/>
        <w:ind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为进一步规范布依族医经典病房的建设与管理，提高布依族医经典病房服务能力与水平，满足人民群众对布依族医日益增长</w:t>
      </w:r>
      <w:r>
        <w:rPr>
          <w:rFonts w:hint="eastAsia" w:ascii="仿宋_GB2312" w:eastAsia="仿宋_GB2312" w:hAnsiTheme="minorEastAsia"/>
          <w:sz w:val="28"/>
          <w:szCs w:val="28"/>
          <w:lang w:val="en-US" w:eastAsia="zh-CN"/>
        </w:rPr>
        <w:t>的</w:t>
      </w:r>
      <w:r>
        <w:rPr>
          <w:rFonts w:hint="eastAsia" w:ascii="仿宋_GB2312" w:eastAsia="仿宋_GB2312" w:hAnsiTheme="minorEastAsia"/>
          <w:sz w:val="28"/>
          <w:szCs w:val="28"/>
        </w:rPr>
        <w:t>需求，在系统总结国家中医药管理局相关病房建设与管理经验的基础上，采用文献研究、实地调研等多种研究方法，根据《医疗机构管理条例》及《中共中央国务院关于促进中医药传承创新发展的意见》等相关法律法规，制定本文件。</w:t>
      </w:r>
    </w:p>
    <w:p>
      <w:pPr>
        <w:spacing w:line="560" w:lineRule="exact"/>
        <w:ind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布依族医经典病房通过运用布依族医药理论，充分发挥布依族医药特色与优势，积极探索运用主导的布依族医药疗法，开展各种优势病种的诊治工作，形成布依族医药主导的诊疗方案并向其他临床科室推广，达到全面提升布依族医药临床服务水平及目标，主攻病种布依族医药疗法参与治疗率应达100%，主攻病种为主的布依族医药疗法治疗率应达90%。</w:t>
      </w:r>
    </w:p>
    <w:p>
      <w:pPr>
        <w:spacing w:line="560" w:lineRule="exact"/>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本文件旨在规范布依族医经典病房建设与管理，拓展布依族医服务能力，为人民群众提供安全、有效的布依族医药，同时为行业主管部门科学评价布依族医经典病房服务能力提供参考。后期产业化预期，</w:t>
      </w:r>
      <w:r>
        <w:rPr>
          <w:rFonts w:ascii="仿宋_GB2312" w:eastAsia="仿宋_GB2312" w:hAnsiTheme="minorEastAsia"/>
          <w:sz w:val="28"/>
          <w:szCs w:val="28"/>
        </w:rPr>
        <w:t>银质针疗法</w:t>
      </w:r>
      <w:r>
        <w:rPr>
          <w:rFonts w:hint="eastAsia" w:ascii="仿宋_GB2312" w:eastAsia="仿宋_GB2312" w:hAnsiTheme="minorEastAsia"/>
          <w:sz w:val="28"/>
          <w:szCs w:val="28"/>
        </w:rPr>
        <w:t>已在我国大部分医院开展应用，团队成员牵头制定了广西省地方标准《</w:t>
      </w:r>
      <w:r>
        <w:rPr>
          <w:rFonts w:ascii="仿宋_GB2312" w:eastAsia="仿宋_GB2312" w:hAnsiTheme="minorEastAsia"/>
          <w:sz w:val="28"/>
          <w:szCs w:val="28"/>
        </w:rPr>
        <w:t>银质针治疗技术操作规范</w:t>
      </w:r>
      <w:r>
        <w:rPr>
          <w:rFonts w:hint="eastAsia" w:ascii="仿宋_GB2312" w:eastAsia="仿宋_GB2312" w:hAnsiTheme="minorEastAsia"/>
          <w:sz w:val="28"/>
          <w:szCs w:val="28"/>
        </w:rPr>
        <w:t>》（</w:t>
      </w:r>
      <w:r>
        <w:rPr>
          <w:rFonts w:ascii="仿宋_GB2312" w:eastAsia="仿宋_GB2312" w:hAnsiTheme="minorEastAsia"/>
          <w:sz w:val="28"/>
          <w:szCs w:val="28"/>
        </w:rPr>
        <w:t>DB45T2137</w:t>
      </w:r>
      <w:r>
        <w:rPr>
          <w:rFonts w:hint="eastAsia" w:ascii="仿宋_GB2312" w:eastAsia="仿宋_GB2312" w:hAnsiTheme="minorEastAsia"/>
          <w:sz w:val="28"/>
          <w:szCs w:val="28"/>
        </w:rPr>
        <w:t>），在此基础上制定《布依族医经典病房管理与建设指南》，将更好地发挥</w:t>
      </w:r>
      <w:r>
        <w:rPr>
          <w:rFonts w:ascii="仿宋_GB2312" w:eastAsia="仿宋_GB2312" w:hAnsiTheme="minorEastAsia"/>
          <w:sz w:val="28"/>
          <w:szCs w:val="28"/>
        </w:rPr>
        <w:t>银质针疗法</w:t>
      </w:r>
      <w:r>
        <w:rPr>
          <w:rFonts w:hint="eastAsia" w:ascii="仿宋_GB2312" w:eastAsia="仿宋_GB2312" w:hAnsiTheme="minorEastAsia"/>
          <w:sz w:val="28"/>
          <w:szCs w:val="28"/>
        </w:rPr>
        <w:t>在各级各类医院规范</w:t>
      </w:r>
      <w:r>
        <w:rPr>
          <w:rFonts w:hint="eastAsia" w:ascii="仿宋_GB2312" w:eastAsia="仿宋_GB2312" w:hAnsiTheme="minorEastAsia"/>
          <w:sz w:val="28"/>
          <w:szCs w:val="28"/>
          <w:lang w:val="en-US" w:eastAsia="zh-CN"/>
        </w:rPr>
        <w:t>化</w:t>
      </w:r>
      <w:bookmarkStart w:id="2" w:name="_GoBack"/>
      <w:bookmarkEnd w:id="2"/>
      <w:r>
        <w:rPr>
          <w:rFonts w:hint="eastAsia" w:ascii="仿宋_GB2312" w:eastAsia="仿宋_GB2312" w:hAnsiTheme="minorEastAsia"/>
          <w:sz w:val="28"/>
          <w:szCs w:val="28"/>
        </w:rPr>
        <w:t>的开展应用。</w:t>
      </w:r>
      <w:r>
        <w:rPr>
          <w:rFonts w:ascii="仿宋_GB2312" w:eastAsia="仿宋_GB2312" w:hAnsiTheme="minorEastAsia"/>
          <w:sz w:val="28"/>
          <w:szCs w:val="28"/>
        </w:rPr>
        <w:t>推动建立符合银质针人才培养模式和使用评价机制、推动银质针人才</w:t>
      </w:r>
      <w:r>
        <w:rPr>
          <w:rFonts w:hint="eastAsia" w:ascii="仿宋_GB2312" w:eastAsia="仿宋_GB2312" w:hAnsiTheme="minorEastAsia"/>
          <w:sz w:val="28"/>
          <w:szCs w:val="28"/>
        </w:rPr>
        <w:t>队伍建设</w:t>
      </w:r>
      <w:r>
        <w:rPr>
          <w:rFonts w:ascii="仿宋_GB2312" w:eastAsia="仿宋_GB2312" w:hAnsiTheme="minorEastAsia"/>
          <w:sz w:val="28"/>
          <w:szCs w:val="28"/>
        </w:rPr>
        <w:t>、推动</w:t>
      </w:r>
      <w:r>
        <w:rPr>
          <w:rFonts w:hint="eastAsia" w:ascii="仿宋_GB2312" w:eastAsia="仿宋_GB2312" w:hAnsiTheme="minorEastAsia"/>
          <w:sz w:val="28"/>
          <w:szCs w:val="28"/>
        </w:rPr>
        <w:t>更好地解决</w:t>
      </w:r>
      <w:r>
        <w:rPr>
          <w:rFonts w:ascii="仿宋_GB2312" w:eastAsia="仿宋_GB2312" w:hAnsiTheme="minorEastAsia"/>
          <w:sz w:val="28"/>
          <w:szCs w:val="28"/>
        </w:rPr>
        <w:t>银质针</w:t>
      </w:r>
      <w:r>
        <w:rPr>
          <w:rFonts w:hint="eastAsia" w:ascii="仿宋_GB2312" w:eastAsia="仿宋_GB2312" w:hAnsiTheme="minorEastAsia"/>
          <w:sz w:val="28"/>
          <w:szCs w:val="28"/>
        </w:rPr>
        <w:t>人才发展面临的困难和问题具有重要意义。</w:t>
      </w:r>
    </w:p>
    <w:p>
      <w:pPr>
        <w:pStyle w:val="9"/>
        <w:numPr>
          <w:ilvl w:val="0"/>
          <w:numId w:val="3"/>
        </w:numPr>
        <w:spacing w:before="156" w:beforeLines="50" w:after="156" w:afterLines="50" w:line="560" w:lineRule="exact"/>
        <w:ind w:firstLineChars="0"/>
        <w:jc w:val="left"/>
        <w:rPr>
          <w:rFonts w:ascii="黑体" w:hAnsi="黑体" w:eastAsia="黑体"/>
          <w:sz w:val="28"/>
          <w:szCs w:val="28"/>
        </w:rPr>
      </w:pPr>
      <w:r>
        <w:rPr>
          <w:rFonts w:hint="eastAsia" w:ascii="黑体" w:hAnsi="黑体" w:eastAsia="黑体"/>
          <w:sz w:val="28"/>
          <w:szCs w:val="28"/>
        </w:rPr>
        <w:t>与相关国家标准、行业标准及其他标准，特别是强制性标准的协调性</w:t>
      </w:r>
    </w:p>
    <w:p>
      <w:pPr>
        <w:spacing w:line="56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本标准的编制符合布依族医药相关的政策法规要求，并以相关标准为依据，与标准要求相一致协调。</w:t>
      </w:r>
    </w:p>
    <w:p>
      <w:pPr>
        <w:pStyle w:val="9"/>
        <w:numPr>
          <w:ilvl w:val="0"/>
          <w:numId w:val="3"/>
        </w:numPr>
        <w:spacing w:line="560" w:lineRule="exact"/>
        <w:ind w:firstLineChars="0"/>
        <w:rPr>
          <w:rFonts w:ascii="黑体" w:hAnsi="黑体" w:eastAsia="黑体"/>
          <w:sz w:val="28"/>
          <w:szCs w:val="28"/>
        </w:rPr>
      </w:pPr>
      <w:r>
        <w:rPr>
          <w:rFonts w:hint="eastAsia" w:ascii="黑体" w:hAnsi="黑体" w:eastAsia="黑体"/>
          <w:sz w:val="28"/>
          <w:szCs w:val="28"/>
        </w:rPr>
        <w:t>重大意见分歧的处理依据和结果</w:t>
      </w:r>
    </w:p>
    <w:p>
      <w:pPr>
        <w:pStyle w:val="9"/>
        <w:spacing w:line="560" w:lineRule="exact"/>
        <w:ind w:left="720" w:firstLine="0" w:firstLineChars="0"/>
        <w:jc w:val="left"/>
        <w:rPr>
          <w:rFonts w:ascii="仿宋_GB2312" w:eastAsia="仿宋_GB2312" w:hAnsiTheme="minorEastAsia"/>
          <w:sz w:val="28"/>
          <w:szCs w:val="28"/>
        </w:rPr>
      </w:pPr>
      <w:r>
        <w:rPr>
          <w:rFonts w:hint="eastAsia" w:ascii="仿宋_GB2312" w:eastAsia="仿宋_GB2312" w:hAnsiTheme="minorEastAsia"/>
          <w:sz w:val="28"/>
          <w:szCs w:val="28"/>
        </w:rPr>
        <w:t>无。</w:t>
      </w:r>
    </w:p>
    <w:p>
      <w:pPr>
        <w:pStyle w:val="9"/>
        <w:numPr>
          <w:ilvl w:val="0"/>
          <w:numId w:val="3"/>
        </w:numPr>
        <w:spacing w:before="156" w:beforeLines="50" w:after="156" w:afterLines="50" w:line="560" w:lineRule="exact"/>
        <w:ind w:firstLineChars="0"/>
        <w:jc w:val="left"/>
        <w:rPr>
          <w:rFonts w:ascii="黑体" w:hAnsi="黑体" w:eastAsia="黑体"/>
          <w:sz w:val="28"/>
          <w:szCs w:val="28"/>
        </w:rPr>
      </w:pPr>
      <w:r>
        <w:rPr>
          <w:rFonts w:hint="eastAsia" w:ascii="黑体" w:hAnsi="黑体" w:eastAsia="黑体"/>
          <w:sz w:val="28"/>
          <w:szCs w:val="28"/>
        </w:rPr>
        <w:t>贯彻标准的要求和措施建议</w:t>
      </w:r>
    </w:p>
    <w:p>
      <w:pPr>
        <w:spacing w:line="56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本标准发布后，对广西中医药学会及贵州省中西医结合学会进行宣贯及培训。</w:t>
      </w:r>
      <w:r>
        <w:rPr>
          <w:rFonts w:ascii="仿宋_GB2312" w:eastAsia="仿宋_GB2312" w:hAnsiTheme="minorEastAsia"/>
          <w:sz w:val="28"/>
          <w:szCs w:val="28"/>
        </w:rPr>
        <w:t xml:space="preserve"> </w:t>
      </w:r>
    </w:p>
    <w:p>
      <w:pPr>
        <w:spacing w:line="560" w:lineRule="exact"/>
        <w:ind w:right="480"/>
        <w:jc w:val="right"/>
        <w:rPr>
          <w:rFonts w:ascii="仿宋_GB2312" w:eastAsia="仿宋_GB2312" w:hAnsiTheme="minorEastAsia"/>
          <w:sz w:val="28"/>
          <w:szCs w:val="28"/>
        </w:rPr>
      </w:pPr>
    </w:p>
    <w:p>
      <w:pPr>
        <w:spacing w:line="560" w:lineRule="exact"/>
        <w:ind w:right="480"/>
        <w:jc w:val="right"/>
        <w:rPr>
          <w:rFonts w:ascii="仿宋_GB2312" w:eastAsia="仿宋_GB2312" w:hAnsiTheme="minorEastAsia"/>
          <w:sz w:val="28"/>
          <w:szCs w:val="28"/>
        </w:rPr>
      </w:pPr>
    </w:p>
    <w:p>
      <w:pPr>
        <w:spacing w:line="560" w:lineRule="exact"/>
        <w:ind w:right="480"/>
        <w:jc w:val="right"/>
        <w:rPr>
          <w:rFonts w:ascii="仿宋_GB2312" w:eastAsia="仿宋_GB2312" w:hAnsiTheme="minorEastAsia"/>
          <w:sz w:val="28"/>
          <w:szCs w:val="28"/>
        </w:rPr>
      </w:pPr>
      <w:r>
        <w:rPr>
          <w:rFonts w:hint="eastAsia" w:ascii="仿宋_GB2312" w:eastAsia="仿宋_GB2312" w:hAnsiTheme="minorEastAsia"/>
          <w:sz w:val="28"/>
          <w:szCs w:val="28"/>
        </w:rPr>
        <w:t xml:space="preserve">     标准编制工作组</w:t>
      </w:r>
    </w:p>
    <w:p>
      <w:pPr>
        <w:spacing w:line="560" w:lineRule="exact"/>
        <w:jc w:val="center"/>
        <w:rPr>
          <w:rFonts w:eastAsia="仿宋_GB2312"/>
        </w:rPr>
      </w:pPr>
      <w:r>
        <w:rPr>
          <w:rFonts w:hint="eastAsia" w:ascii="仿宋_GB2312" w:eastAsia="仿宋_GB2312" w:hAnsiTheme="minorEastAsia"/>
          <w:sz w:val="28"/>
          <w:szCs w:val="28"/>
        </w:rPr>
        <w:t xml:space="preserve">                                    2024年4月22日  </w:t>
      </w:r>
    </w:p>
    <w:sectPr>
      <w:footerReference r:id="rId3" w:type="default"/>
      <w:pgSz w:w="11906" w:h="16838"/>
      <w:pgMar w:top="1440" w:right="1800" w:bottom="1440" w:left="1800" w:header="851" w:footer="992" w:gutter="0"/>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方正小标宋简体">
    <w:altName w:val="黑体"/>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114780"/>
    </w:sdtPr>
    <w:sdtContent>
      <w:p>
        <w:pPr>
          <w:pStyle w:val="3"/>
          <w:jc w:val="center"/>
        </w:pPr>
        <w:r>
          <w:fldChar w:fldCharType="begin"/>
        </w:r>
        <w:r>
          <w:instrText xml:space="preserve"> PAGE   \* MERGEFORMAT </w:instrText>
        </w:r>
        <w:r>
          <w:fldChar w:fldCharType="separate"/>
        </w:r>
        <w:r>
          <w:rPr>
            <w:lang w:val="zh-CN"/>
          </w:rPr>
          <w:t>3</w:t>
        </w:r>
        <w:r>
          <w:rPr>
            <w:lang w:val="zh-CN"/>
          </w:rPr>
          <w:fldChar w:fldCharType="end"/>
        </w:r>
      </w:p>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52706D"/>
    <w:multiLevelType w:val="multilevel"/>
    <w:tmpl w:val="1652706D"/>
    <w:lvl w:ilvl="0" w:tentative="0">
      <w:start w:val="1"/>
      <w:numFmt w:val="japaneseCounting"/>
      <w:lvlText w:val="（%1）"/>
      <w:lvlJc w:val="left"/>
      <w:pPr>
        <w:ind w:left="1380" w:hanging="1080"/>
      </w:pPr>
      <w:rPr>
        <w:rFonts w:hint="default"/>
      </w:rPr>
    </w:lvl>
    <w:lvl w:ilvl="1" w:tentative="0">
      <w:start w:val="1"/>
      <w:numFmt w:val="lowerLetter"/>
      <w:lvlText w:val="%2)"/>
      <w:lvlJc w:val="left"/>
      <w:pPr>
        <w:ind w:left="1140" w:hanging="420"/>
      </w:pPr>
    </w:lvl>
    <w:lvl w:ilvl="2" w:tentative="0">
      <w:start w:val="1"/>
      <w:numFmt w:val="lowerRoman"/>
      <w:lvlText w:val="%3."/>
      <w:lvlJc w:val="right"/>
      <w:pPr>
        <w:ind w:left="1560" w:hanging="420"/>
      </w:pPr>
    </w:lvl>
    <w:lvl w:ilvl="3" w:tentative="0">
      <w:start w:val="1"/>
      <w:numFmt w:val="decimal"/>
      <w:lvlText w:val="%4."/>
      <w:lvlJc w:val="left"/>
      <w:pPr>
        <w:ind w:left="1980" w:hanging="420"/>
      </w:pPr>
    </w:lvl>
    <w:lvl w:ilvl="4" w:tentative="0">
      <w:start w:val="1"/>
      <w:numFmt w:val="lowerLetter"/>
      <w:lvlText w:val="%5)"/>
      <w:lvlJc w:val="left"/>
      <w:pPr>
        <w:ind w:left="2400" w:hanging="420"/>
      </w:pPr>
    </w:lvl>
    <w:lvl w:ilvl="5" w:tentative="0">
      <w:start w:val="1"/>
      <w:numFmt w:val="lowerRoman"/>
      <w:lvlText w:val="%6."/>
      <w:lvlJc w:val="right"/>
      <w:pPr>
        <w:ind w:left="2820" w:hanging="420"/>
      </w:pPr>
    </w:lvl>
    <w:lvl w:ilvl="6" w:tentative="0">
      <w:start w:val="1"/>
      <w:numFmt w:val="decimal"/>
      <w:lvlText w:val="%7."/>
      <w:lvlJc w:val="left"/>
      <w:pPr>
        <w:ind w:left="3240" w:hanging="420"/>
      </w:pPr>
    </w:lvl>
    <w:lvl w:ilvl="7" w:tentative="0">
      <w:start w:val="1"/>
      <w:numFmt w:val="lowerLetter"/>
      <w:lvlText w:val="%8)"/>
      <w:lvlJc w:val="left"/>
      <w:pPr>
        <w:ind w:left="3660" w:hanging="420"/>
      </w:pPr>
    </w:lvl>
    <w:lvl w:ilvl="8" w:tentative="0">
      <w:start w:val="1"/>
      <w:numFmt w:val="lowerRoman"/>
      <w:lvlText w:val="%9."/>
      <w:lvlJc w:val="right"/>
      <w:pPr>
        <w:ind w:left="4080" w:hanging="420"/>
      </w:pPr>
    </w:lvl>
  </w:abstractNum>
  <w:abstractNum w:abstractNumId="1">
    <w:nsid w:val="367B58F7"/>
    <w:multiLevelType w:val="multilevel"/>
    <w:tmpl w:val="367B58F7"/>
    <w:lvl w:ilvl="0" w:tentative="0">
      <w:start w:val="2"/>
      <w:numFmt w:val="japaneseCounting"/>
      <w:lvlText w:val="%1、"/>
      <w:lvlJc w:val="left"/>
      <w:pPr>
        <w:ind w:left="720" w:hanging="72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402D4357"/>
    <w:multiLevelType w:val="multilevel"/>
    <w:tmpl w:val="402D4357"/>
    <w:lvl w:ilvl="0" w:tentative="0">
      <w:start w:val="1"/>
      <w:numFmt w:val="japaneseCounting"/>
      <w:lvlText w:val="（%1）"/>
      <w:lvlJc w:val="left"/>
      <w:pPr>
        <w:ind w:left="1380" w:hanging="1080"/>
      </w:pPr>
      <w:rPr>
        <w:rFonts w:hint="default"/>
      </w:rPr>
    </w:lvl>
    <w:lvl w:ilvl="1" w:tentative="0">
      <w:start w:val="1"/>
      <w:numFmt w:val="lowerLetter"/>
      <w:lvlText w:val="%2)"/>
      <w:lvlJc w:val="left"/>
      <w:pPr>
        <w:ind w:left="1140" w:hanging="420"/>
      </w:pPr>
    </w:lvl>
    <w:lvl w:ilvl="2" w:tentative="0">
      <w:start w:val="1"/>
      <w:numFmt w:val="lowerRoman"/>
      <w:lvlText w:val="%3."/>
      <w:lvlJc w:val="right"/>
      <w:pPr>
        <w:ind w:left="1560" w:hanging="420"/>
      </w:pPr>
    </w:lvl>
    <w:lvl w:ilvl="3" w:tentative="0">
      <w:start w:val="1"/>
      <w:numFmt w:val="decimal"/>
      <w:lvlText w:val="%4."/>
      <w:lvlJc w:val="left"/>
      <w:pPr>
        <w:ind w:left="1980" w:hanging="420"/>
      </w:pPr>
    </w:lvl>
    <w:lvl w:ilvl="4" w:tentative="0">
      <w:start w:val="1"/>
      <w:numFmt w:val="lowerLetter"/>
      <w:lvlText w:val="%5)"/>
      <w:lvlJc w:val="left"/>
      <w:pPr>
        <w:ind w:left="2400" w:hanging="420"/>
      </w:pPr>
    </w:lvl>
    <w:lvl w:ilvl="5" w:tentative="0">
      <w:start w:val="1"/>
      <w:numFmt w:val="lowerRoman"/>
      <w:lvlText w:val="%6."/>
      <w:lvlJc w:val="right"/>
      <w:pPr>
        <w:ind w:left="2820" w:hanging="420"/>
      </w:pPr>
    </w:lvl>
    <w:lvl w:ilvl="6" w:tentative="0">
      <w:start w:val="1"/>
      <w:numFmt w:val="decimal"/>
      <w:lvlText w:val="%7."/>
      <w:lvlJc w:val="left"/>
      <w:pPr>
        <w:ind w:left="3240" w:hanging="420"/>
      </w:pPr>
    </w:lvl>
    <w:lvl w:ilvl="7" w:tentative="0">
      <w:start w:val="1"/>
      <w:numFmt w:val="lowerLetter"/>
      <w:lvlText w:val="%8)"/>
      <w:lvlJc w:val="left"/>
      <w:pPr>
        <w:ind w:left="3660" w:hanging="420"/>
      </w:pPr>
    </w:lvl>
    <w:lvl w:ilvl="8" w:tentative="0">
      <w:start w:val="1"/>
      <w:numFmt w:val="lowerRoman"/>
      <w:lvlText w:val="%9."/>
      <w:lvlJc w:val="right"/>
      <w:pPr>
        <w:ind w:left="4080" w:hanging="420"/>
      </w:pPr>
    </w:lvl>
  </w:abstractNum>
  <w:abstractNum w:abstractNumId="3">
    <w:nsid w:val="533863A3"/>
    <w:multiLevelType w:val="multilevel"/>
    <w:tmpl w:val="533863A3"/>
    <w:lvl w:ilvl="0" w:tentative="0">
      <w:start w:val="1"/>
      <w:numFmt w:val="japaneseCounting"/>
      <w:lvlText w:val="（%1）"/>
      <w:lvlJc w:val="left"/>
      <w:pPr>
        <w:ind w:left="1380" w:hanging="1080"/>
      </w:pPr>
      <w:rPr>
        <w:rFonts w:hint="default"/>
      </w:rPr>
    </w:lvl>
    <w:lvl w:ilvl="1" w:tentative="0">
      <w:start w:val="1"/>
      <w:numFmt w:val="lowerLetter"/>
      <w:lvlText w:val="%2)"/>
      <w:lvlJc w:val="left"/>
      <w:pPr>
        <w:ind w:left="1140" w:hanging="420"/>
      </w:pPr>
    </w:lvl>
    <w:lvl w:ilvl="2" w:tentative="0">
      <w:start w:val="1"/>
      <w:numFmt w:val="lowerRoman"/>
      <w:lvlText w:val="%3."/>
      <w:lvlJc w:val="right"/>
      <w:pPr>
        <w:ind w:left="1560" w:hanging="420"/>
      </w:pPr>
    </w:lvl>
    <w:lvl w:ilvl="3" w:tentative="0">
      <w:start w:val="1"/>
      <w:numFmt w:val="decimal"/>
      <w:lvlText w:val="%4."/>
      <w:lvlJc w:val="left"/>
      <w:pPr>
        <w:ind w:left="1980" w:hanging="420"/>
      </w:pPr>
    </w:lvl>
    <w:lvl w:ilvl="4" w:tentative="0">
      <w:start w:val="1"/>
      <w:numFmt w:val="lowerLetter"/>
      <w:lvlText w:val="%5)"/>
      <w:lvlJc w:val="left"/>
      <w:pPr>
        <w:ind w:left="2400" w:hanging="420"/>
      </w:pPr>
    </w:lvl>
    <w:lvl w:ilvl="5" w:tentative="0">
      <w:start w:val="1"/>
      <w:numFmt w:val="lowerRoman"/>
      <w:lvlText w:val="%6."/>
      <w:lvlJc w:val="right"/>
      <w:pPr>
        <w:ind w:left="2820" w:hanging="420"/>
      </w:pPr>
    </w:lvl>
    <w:lvl w:ilvl="6" w:tentative="0">
      <w:start w:val="1"/>
      <w:numFmt w:val="decimal"/>
      <w:lvlText w:val="%7."/>
      <w:lvlJc w:val="left"/>
      <w:pPr>
        <w:ind w:left="3240" w:hanging="420"/>
      </w:pPr>
    </w:lvl>
    <w:lvl w:ilvl="7" w:tentative="0">
      <w:start w:val="1"/>
      <w:numFmt w:val="lowerLetter"/>
      <w:lvlText w:val="%8)"/>
      <w:lvlJc w:val="left"/>
      <w:pPr>
        <w:ind w:left="3660" w:hanging="420"/>
      </w:pPr>
    </w:lvl>
    <w:lvl w:ilvl="8" w:tentative="0">
      <w:start w:val="1"/>
      <w:numFmt w:val="lowerRoman"/>
      <w:lvlText w:val="%9."/>
      <w:lvlJc w:val="right"/>
      <w:pPr>
        <w:ind w:left="4080" w:hanging="420"/>
      </w:pPr>
    </w:lvl>
  </w:abstractNum>
  <w:abstractNum w:abstractNumId="4">
    <w:nsid w:val="60B12950"/>
    <w:multiLevelType w:val="multilevel"/>
    <w:tmpl w:val="60B12950"/>
    <w:lvl w:ilvl="0" w:tentative="0">
      <w:start w:val="1"/>
      <w:numFmt w:val="japaneseCounting"/>
      <w:lvlText w:val="%1、"/>
      <w:lvlJc w:val="left"/>
      <w:pPr>
        <w:ind w:left="720" w:hanging="720"/>
      </w:pPr>
      <w:rPr>
        <w:rFonts w:hint="default"/>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625525A2"/>
    <w:multiLevelType w:val="multilevel"/>
    <w:tmpl w:val="625525A2"/>
    <w:lvl w:ilvl="0" w:tentative="0">
      <w:start w:val="1"/>
      <w:numFmt w:val="japaneseCounting"/>
      <w:lvlText w:val="（%1）"/>
      <w:lvlJc w:val="left"/>
      <w:pPr>
        <w:ind w:left="1380" w:hanging="1080"/>
      </w:pPr>
      <w:rPr>
        <w:rFonts w:hint="default"/>
      </w:rPr>
    </w:lvl>
    <w:lvl w:ilvl="1" w:tentative="0">
      <w:start w:val="1"/>
      <w:numFmt w:val="lowerLetter"/>
      <w:lvlText w:val="%2)"/>
      <w:lvlJc w:val="left"/>
      <w:pPr>
        <w:ind w:left="1140" w:hanging="420"/>
      </w:pPr>
    </w:lvl>
    <w:lvl w:ilvl="2" w:tentative="0">
      <w:start w:val="1"/>
      <w:numFmt w:val="lowerRoman"/>
      <w:lvlText w:val="%3."/>
      <w:lvlJc w:val="right"/>
      <w:pPr>
        <w:ind w:left="1560" w:hanging="420"/>
      </w:pPr>
    </w:lvl>
    <w:lvl w:ilvl="3" w:tentative="0">
      <w:start w:val="1"/>
      <w:numFmt w:val="decimal"/>
      <w:lvlText w:val="%4."/>
      <w:lvlJc w:val="left"/>
      <w:pPr>
        <w:ind w:left="1980" w:hanging="420"/>
      </w:pPr>
    </w:lvl>
    <w:lvl w:ilvl="4" w:tentative="0">
      <w:start w:val="1"/>
      <w:numFmt w:val="lowerLetter"/>
      <w:lvlText w:val="%5)"/>
      <w:lvlJc w:val="left"/>
      <w:pPr>
        <w:ind w:left="2400" w:hanging="420"/>
      </w:pPr>
    </w:lvl>
    <w:lvl w:ilvl="5" w:tentative="0">
      <w:start w:val="1"/>
      <w:numFmt w:val="lowerRoman"/>
      <w:lvlText w:val="%6."/>
      <w:lvlJc w:val="right"/>
      <w:pPr>
        <w:ind w:left="2820" w:hanging="420"/>
      </w:pPr>
    </w:lvl>
    <w:lvl w:ilvl="6" w:tentative="0">
      <w:start w:val="1"/>
      <w:numFmt w:val="decimal"/>
      <w:lvlText w:val="%7."/>
      <w:lvlJc w:val="left"/>
      <w:pPr>
        <w:ind w:left="3240" w:hanging="420"/>
      </w:pPr>
    </w:lvl>
    <w:lvl w:ilvl="7" w:tentative="0">
      <w:start w:val="1"/>
      <w:numFmt w:val="lowerLetter"/>
      <w:lvlText w:val="%8)"/>
      <w:lvlJc w:val="left"/>
      <w:pPr>
        <w:ind w:left="3660" w:hanging="420"/>
      </w:pPr>
    </w:lvl>
    <w:lvl w:ilvl="8" w:tentative="0">
      <w:start w:val="1"/>
      <w:numFmt w:val="lowerRoman"/>
      <w:lvlText w:val="%9."/>
      <w:lvlJc w:val="right"/>
      <w:pPr>
        <w:ind w:left="4080" w:hanging="420"/>
      </w:pPr>
    </w:lvl>
  </w:abstractNum>
  <w:num w:numId="1">
    <w:abstractNumId w:val="1"/>
  </w:num>
  <w:num w:numId="2">
    <w:abstractNumId w:val="5"/>
  </w:num>
  <w:num w:numId="3">
    <w:abstractNumId w:val="4"/>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M5YzgxZDFmMDc4Y2E5NDQ5NWZlMDliYzNjZWE0NmMifQ=="/>
  </w:docVars>
  <w:rsids>
    <w:rsidRoot w:val="001B3A00"/>
    <w:rsid w:val="00000D0D"/>
    <w:rsid w:val="00004A80"/>
    <w:rsid w:val="00004D6D"/>
    <w:rsid w:val="00011307"/>
    <w:rsid w:val="0001388D"/>
    <w:rsid w:val="000154B2"/>
    <w:rsid w:val="000164D8"/>
    <w:rsid w:val="00020250"/>
    <w:rsid w:val="000244A5"/>
    <w:rsid w:val="000258BF"/>
    <w:rsid w:val="00025930"/>
    <w:rsid w:val="00025B1B"/>
    <w:rsid w:val="00030B2F"/>
    <w:rsid w:val="000339CE"/>
    <w:rsid w:val="000345D5"/>
    <w:rsid w:val="00036401"/>
    <w:rsid w:val="00041D4F"/>
    <w:rsid w:val="00043A31"/>
    <w:rsid w:val="00044CEA"/>
    <w:rsid w:val="00051352"/>
    <w:rsid w:val="00056F34"/>
    <w:rsid w:val="00064884"/>
    <w:rsid w:val="00064F5B"/>
    <w:rsid w:val="00065323"/>
    <w:rsid w:val="00066512"/>
    <w:rsid w:val="00067D9A"/>
    <w:rsid w:val="000706E1"/>
    <w:rsid w:val="00071535"/>
    <w:rsid w:val="000737B8"/>
    <w:rsid w:val="00073F1A"/>
    <w:rsid w:val="000775EC"/>
    <w:rsid w:val="00083B5F"/>
    <w:rsid w:val="00085E9C"/>
    <w:rsid w:val="0009048A"/>
    <w:rsid w:val="00093C8A"/>
    <w:rsid w:val="000956CB"/>
    <w:rsid w:val="000975F3"/>
    <w:rsid w:val="000A13B3"/>
    <w:rsid w:val="000A2F40"/>
    <w:rsid w:val="000A311B"/>
    <w:rsid w:val="000A4F00"/>
    <w:rsid w:val="000A6B6C"/>
    <w:rsid w:val="000C0D5F"/>
    <w:rsid w:val="000C26B5"/>
    <w:rsid w:val="000C2DC9"/>
    <w:rsid w:val="000C5CE5"/>
    <w:rsid w:val="000C5FBA"/>
    <w:rsid w:val="000C65FA"/>
    <w:rsid w:val="000E2C08"/>
    <w:rsid w:val="000E3DE1"/>
    <w:rsid w:val="000E681E"/>
    <w:rsid w:val="000E78B2"/>
    <w:rsid w:val="000F4B30"/>
    <w:rsid w:val="000F4F56"/>
    <w:rsid w:val="000F518B"/>
    <w:rsid w:val="000F79F1"/>
    <w:rsid w:val="00100968"/>
    <w:rsid w:val="001016D7"/>
    <w:rsid w:val="0010567D"/>
    <w:rsid w:val="00106531"/>
    <w:rsid w:val="00114234"/>
    <w:rsid w:val="00116145"/>
    <w:rsid w:val="00116176"/>
    <w:rsid w:val="00116BC5"/>
    <w:rsid w:val="00116E3D"/>
    <w:rsid w:val="00117416"/>
    <w:rsid w:val="00121816"/>
    <w:rsid w:val="001218B0"/>
    <w:rsid w:val="00121A7C"/>
    <w:rsid w:val="00122504"/>
    <w:rsid w:val="00122612"/>
    <w:rsid w:val="00123333"/>
    <w:rsid w:val="00123BC0"/>
    <w:rsid w:val="00125243"/>
    <w:rsid w:val="00125764"/>
    <w:rsid w:val="00125B77"/>
    <w:rsid w:val="001265A3"/>
    <w:rsid w:val="0012783D"/>
    <w:rsid w:val="00130155"/>
    <w:rsid w:val="0013685F"/>
    <w:rsid w:val="00140024"/>
    <w:rsid w:val="00140510"/>
    <w:rsid w:val="00140755"/>
    <w:rsid w:val="001438E4"/>
    <w:rsid w:val="00143B00"/>
    <w:rsid w:val="00145DA7"/>
    <w:rsid w:val="00147934"/>
    <w:rsid w:val="00151A2B"/>
    <w:rsid w:val="0015304E"/>
    <w:rsid w:val="00155C43"/>
    <w:rsid w:val="00156FEE"/>
    <w:rsid w:val="00157A07"/>
    <w:rsid w:val="00157BEB"/>
    <w:rsid w:val="00160259"/>
    <w:rsid w:val="001608A1"/>
    <w:rsid w:val="00160BF9"/>
    <w:rsid w:val="00162732"/>
    <w:rsid w:val="0016696E"/>
    <w:rsid w:val="00173BB8"/>
    <w:rsid w:val="00173C38"/>
    <w:rsid w:val="00176EB2"/>
    <w:rsid w:val="0018557D"/>
    <w:rsid w:val="00185BBF"/>
    <w:rsid w:val="001902DC"/>
    <w:rsid w:val="001906B9"/>
    <w:rsid w:val="0019109B"/>
    <w:rsid w:val="001916B6"/>
    <w:rsid w:val="0019276C"/>
    <w:rsid w:val="00194F1E"/>
    <w:rsid w:val="00197E43"/>
    <w:rsid w:val="001A14D1"/>
    <w:rsid w:val="001A398D"/>
    <w:rsid w:val="001A3F76"/>
    <w:rsid w:val="001A69DE"/>
    <w:rsid w:val="001B0241"/>
    <w:rsid w:val="001B3A00"/>
    <w:rsid w:val="001B579D"/>
    <w:rsid w:val="001B72D3"/>
    <w:rsid w:val="001B7DF2"/>
    <w:rsid w:val="001C2287"/>
    <w:rsid w:val="001C23DC"/>
    <w:rsid w:val="001C3CAA"/>
    <w:rsid w:val="001D35A2"/>
    <w:rsid w:val="001D5C3E"/>
    <w:rsid w:val="001D5DFD"/>
    <w:rsid w:val="001D6B1B"/>
    <w:rsid w:val="001E0D58"/>
    <w:rsid w:val="001E1711"/>
    <w:rsid w:val="001E31EA"/>
    <w:rsid w:val="001E6421"/>
    <w:rsid w:val="001F360B"/>
    <w:rsid w:val="001F56DE"/>
    <w:rsid w:val="00204164"/>
    <w:rsid w:val="0021454D"/>
    <w:rsid w:val="0021470B"/>
    <w:rsid w:val="002152E8"/>
    <w:rsid w:val="00220402"/>
    <w:rsid w:val="00225592"/>
    <w:rsid w:val="00235145"/>
    <w:rsid w:val="00240ACB"/>
    <w:rsid w:val="0024113A"/>
    <w:rsid w:val="002423F2"/>
    <w:rsid w:val="002531F2"/>
    <w:rsid w:val="00253ED4"/>
    <w:rsid w:val="00257A86"/>
    <w:rsid w:val="0026329C"/>
    <w:rsid w:val="0026351B"/>
    <w:rsid w:val="00270B03"/>
    <w:rsid w:val="002755D5"/>
    <w:rsid w:val="002756F4"/>
    <w:rsid w:val="00275FB5"/>
    <w:rsid w:val="0028773E"/>
    <w:rsid w:val="00291055"/>
    <w:rsid w:val="002937EC"/>
    <w:rsid w:val="002958D1"/>
    <w:rsid w:val="002A04F6"/>
    <w:rsid w:val="002A204E"/>
    <w:rsid w:val="002A2C0E"/>
    <w:rsid w:val="002A6564"/>
    <w:rsid w:val="002B6E9D"/>
    <w:rsid w:val="002C07A9"/>
    <w:rsid w:val="002C2609"/>
    <w:rsid w:val="002C2A72"/>
    <w:rsid w:val="002C3FD3"/>
    <w:rsid w:val="002C61D8"/>
    <w:rsid w:val="002D2AD8"/>
    <w:rsid w:val="002D634D"/>
    <w:rsid w:val="002D76C4"/>
    <w:rsid w:val="002E494A"/>
    <w:rsid w:val="002E6003"/>
    <w:rsid w:val="002F2575"/>
    <w:rsid w:val="002F3F4E"/>
    <w:rsid w:val="002F6BE9"/>
    <w:rsid w:val="002F7079"/>
    <w:rsid w:val="0030184D"/>
    <w:rsid w:val="00302AC8"/>
    <w:rsid w:val="003060CD"/>
    <w:rsid w:val="003064B2"/>
    <w:rsid w:val="00306679"/>
    <w:rsid w:val="00312D3E"/>
    <w:rsid w:val="00313B90"/>
    <w:rsid w:val="003160B3"/>
    <w:rsid w:val="00320211"/>
    <w:rsid w:val="003207BF"/>
    <w:rsid w:val="00321521"/>
    <w:rsid w:val="00324111"/>
    <w:rsid w:val="00325433"/>
    <w:rsid w:val="00332B4C"/>
    <w:rsid w:val="00336D5C"/>
    <w:rsid w:val="0033789A"/>
    <w:rsid w:val="00342C2F"/>
    <w:rsid w:val="0034366C"/>
    <w:rsid w:val="00343DD8"/>
    <w:rsid w:val="00344B36"/>
    <w:rsid w:val="0035190A"/>
    <w:rsid w:val="0035411E"/>
    <w:rsid w:val="00356BFB"/>
    <w:rsid w:val="00357BF4"/>
    <w:rsid w:val="00361FB7"/>
    <w:rsid w:val="00364285"/>
    <w:rsid w:val="0036543D"/>
    <w:rsid w:val="003666F2"/>
    <w:rsid w:val="00376AB1"/>
    <w:rsid w:val="003777E5"/>
    <w:rsid w:val="00380553"/>
    <w:rsid w:val="00380D61"/>
    <w:rsid w:val="003846C7"/>
    <w:rsid w:val="00397E7C"/>
    <w:rsid w:val="003A1094"/>
    <w:rsid w:val="003A130B"/>
    <w:rsid w:val="003A20D8"/>
    <w:rsid w:val="003A6757"/>
    <w:rsid w:val="003B04AB"/>
    <w:rsid w:val="003B0FF5"/>
    <w:rsid w:val="003B4D09"/>
    <w:rsid w:val="003B52F5"/>
    <w:rsid w:val="003D4B1F"/>
    <w:rsid w:val="003D5F5A"/>
    <w:rsid w:val="003D6BBE"/>
    <w:rsid w:val="003E0674"/>
    <w:rsid w:val="003E15BF"/>
    <w:rsid w:val="003E36DB"/>
    <w:rsid w:val="003E4B20"/>
    <w:rsid w:val="003E6110"/>
    <w:rsid w:val="003E61CF"/>
    <w:rsid w:val="003F30E1"/>
    <w:rsid w:val="003F62BC"/>
    <w:rsid w:val="003F69A4"/>
    <w:rsid w:val="00401D4E"/>
    <w:rsid w:val="0040577A"/>
    <w:rsid w:val="00405963"/>
    <w:rsid w:val="00406F03"/>
    <w:rsid w:val="00407D22"/>
    <w:rsid w:val="004108A4"/>
    <w:rsid w:val="00412CF5"/>
    <w:rsid w:val="00413689"/>
    <w:rsid w:val="00422350"/>
    <w:rsid w:val="00430ED4"/>
    <w:rsid w:val="004364AA"/>
    <w:rsid w:val="00441EBF"/>
    <w:rsid w:val="00451F9D"/>
    <w:rsid w:val="00452144"/>
    <w:rsid w:val="00454316"/>
    <w:rsid w:val="0045682B"/>
    <w:rsid w:val="00456B16"/>
    <w:rsid w:val="004576E0"/>
    <w:rsid w:val="00460222"/>
    <w:rsid w:val="004641CE"/>
    <w:rsid w:val="00467CD9"/>
    <w:rsid w:val="00471537"/>
    <w:rsid w:val="0047241D"/>
    <w:rsid w:val="00474BB2"/>
    <w:rsid w:val="00477525"/>
    <w:rsid w:val="004834B0"/>
    <w:rsid w:val="0048413A"/>
    <w:rsid w:val="0048533A"/>
    <w:rsid w:val="00485FAF"/>
    <w:rsid w:val="004879D6"/>
    <w:rsid w:val="00492F16"/>
    <w:rsid w:val="00494569"/>
    <w:rsid w:val="004A082C"/>
    <w:rsid w:val="004A21CA"/>
    <w:rsid w:val="004A2F8B"/>
    <w:rsid w:val="004A5843"/>
    <w:rsid w:val="004A6901"/>
    <w:rsid w:val="004B00BC"/>
    <w:rsid w:val="004B4094"/>
    <w:rsid w:val="004B4BB1"/>
    <w:rsid w:val="004C042A"/>
    <w:rsid w:val="004C17E8"/>
    <w:rsid w:val="004C4430"/>
    <w:rsid w:val="004C478C"/>
    <w:rsid w:val="004C5342"/>
    <w:rsid w:val="004C63F2"/>
    <w:rsid w:val="004D1BDD"/>
    <w:rsid w:val="004D3487"/>
    <w:rsid w:val="004D3862"/>
    <w:rsid w:val="004D5FD3"/>
    <w:rsid w:val="004E7259"/>
    <w:rsid w:val="004E77CA"/>
    <w:rsid w:val="004E7FBD"/>
    <w:rsid w:val="004F093C"/>
    <w:rsid w:val="004F0AEF"/>
    <w:rsid w:val="004F6318"/>
    <w:rsid w:val="004F6C1B"/>
    <w:rsid w:val="0050153E"/>
    <w:rsid w:val="00505FDD"/>
    <w:rsid w:val="00507E97"/>
    <w:rsid w:val="00510F5C"/>
    <w:rsid w:val="00511C91"/>
    <w:rsid w:val="00515084"/>
    <w:rsid w:val="005155B9"/>
    <w:rsid w:val="00515B74"/>
    <w:rsid w:val="00521ADD"/>
    <w:rsid w:val="00525FCB"/>
    <w:rsid w:val="00527DCB"/>
    <w:rsid w:val="00532BBD"/>
    <w:rsid w:val="005354E2"/>
    <w:rsid w:val="00535928"/>
    <w:rsid w:val="00536ED5"/>
    <w:rsid w:val="00537B3F"/>
    <w:rsid w:val="00537CFE"/>
    <w:rsid w:val="00540EB9"/>
    <w:rsid w:val="00542BC3"/>
    <w:rsid w:val="00550B19"/>
    <w:rsid w:val="00551D5C"/>
    <w:rsid w:val="0055253A"/>
    <w:rsid w:val="00556581"/>
    <w:rsid w:val="00560370"/>
    <w:rsid w:val="00566815"/>
    <w:rsid w:val="00567A98"/>
    <w:rsid w:val="0057221A"/>
    <w:rsid w:val="005810F2"/>
    <w:rsid w:val="00583C1F"/>
    <w:rsid w:val="005873D6"/>
    <w:rsid w:val="00587E6D"/>
    <w:rsid w:val="00590917"/>
    <w:rsid w:val="005920E5"/>
    <w:rsid w:val="00594F7E"/>
    <w:rsid w:val="005A0C7B"/>
    <w:rsid w:val="005A1658"/>
    <w:rsid w:val="005A4732"/>
    <w:rsid w:val="005B2749"/>
    <w:rsid w:val="005B2E33"/>
    <w:rsid w:val="005B452B"/>
    <w:rsid w:val="005B4C72"/>
    <w:rsid w:val="005B4F49"/>
    <w:rsid w:val="005C0856"/>
    <w:rsid w:val="005C2784"/>
    <w:rsid w:val="005C37C3"/>
    <w:rsid w:val="005C494E"/>
    <w:rsid w:val="005C7672"/>
    <w:rsid w:val="005D0D85"/>
    <w:rsid w:val="005D19D7"/>
    <w:rsid w:val="005D44CB"/>
    <w:rsid w:val="005D480B"/>
    <w:rsid w:val="005D71D0"/>
    <w:rsid w:val="005E0E02"/>
    <w:rsid w:val="005E191E"/>
    <w:rsid w:val="005E28BB"/>
    <w:rsid w:val="005E47C7"/>
    <w:rsid w:val="005F1EB8"/>
    <w:rsid w:val="00600853"/>
    <w:rsid w:val="006015DB"/>
    <w:rsid w:val="006050DA"/>
    <w:rsid w:val="00605760"/>
    <w:rsid w:val="00610154"/>
    <w:rsid w:val="00610C93"/>
    <w:rsid w:val="006145CB"/>
    <w:rsid w:val="00615816"/>
    <w:rsid w:val="00621689"/>
    <w:rsid w:val="00621FD9"/>
    <w:rsid w:val="0062627C"/>
    <w:rsid w:val="006268C9"/>
    <w:rsid w:val="00626A3B"/>
    <w:rsid w:val="00626B68"/>
    <w:rsid w:val="0062788F"/>
    <w:rsid w:val="00635E95"/>
    <w:rsid w:val="0063626E"/>
    <w:rsid w:val="006476F8"/>
    <w:rsid w:val="00650970"/>
    <w:rsid w:val="00651546"/>
    <w:rsid w:val="0065197E"/>
    <w:rsid w:val="0065796B"/>
    <w:rsid w:val="006625B0"/>
    <w:rsid w:val="006644DC"/>
    <w:rsid w:val="006717F6"/>
    <w:rsid w:val="00671F74"/>
    <w:rsid w:val="00675B7A"/>
    <w:rsid w:val="0067684F"/>
    <w:rsid w:val="00677D8D"/>
    <w:rsid w:val="0068077F"/>
    <w:rsid w:val="00681CD0"/>
    <w:rsid w:val="00682408"/>
    <w:rsid w:val="00682E04"/>
    <w:rsid w:val="00690C53"/>
    <w:rsid w:val="00691FF5"/>
    <w:rsid w:val="00692660"/>
    <w:rsid w:val="0069620E"/>
    <w:rsid w:val="00696A91"/>
    <w:rsid w:val="006A00FB"/>
    <w:rsid w:val="006A06BD"/>
    <w:rsid w:val="006B1488"/>
    <w:rsid w:val="006B24B9"/>
    <w:rsid w:val="006C661A"/>
    <w:rsid w:val="006C6644"/>
    <w:rsid w:val="006D2008"/>
    <w:rsid w:val="006D32AD"/>
    <w:rsid w:val="006D6057"/>
    <w:rsid w:val="006D71E6"/>
    <w:rsid w:val="006F4C0F"/>
    <w:rsid w:val="006F626C"/>
    <w:rsid w:val="006F76D9"/>
    <w:rsid w:val="006F7A76"/>
    <w:rsid w:val="00702BA2"/>
    <w:rsid w:val="00710A0E"/>
    <w:rsid w:val="00711FA6"/>
    <w:rsid w:val="00717004"/>
    <w:rsid w:val="00721E3F"/>
    <w:rsid w:val="00723A59"/>
    <w:rsid w:val="00724AB4"/>
    <w:rsid w:val="00724C89"/>
    <w:rsid w:val="0073129F"/>
    <w:rsid w:val="00736334"/>
    <w:rsid w:val="0073640F"/>
    <w:rsid w:val="00736E04"/>
    <w:rsid w:val="007424DD"/>
    <w:rsid w:val="00742FD5"/>
    <w:rsid w:val="007450C8"/>
    <w:rsid w:val="007457D3"/>
    <w:rsid w:val="0074646A"/>
    <w:rsid w:val="007573C0"/>
    <w:rsid w:val="00757821"/>
    <w:rsid w:val="0076236A"/>
    <w:rsid w:val="0076362E"/>
    <w:rsid w:val="00766F79"/>
    <w:rsid w:val="00767DE8"/>
    <w:rsid w:val="00775BAD"/>
    <w:rsid w:val="0077636F"/>
    <w:rsid w:val="007764C0"/>
    <w:rsid w:val="00776E4B"/>
    <w:rsid w:val="007770CA"/>
    <w:rsid w:val="00780E31"/>
    <w:rsid w:val="00783AF8"/>
    <w:rsid w:val="00786AA7"/>
    <w:rsid w:val="00787771"/>
    <w:rsid w:val="00796FDF"/>
    <w:rsid w:val="007A1EA9"/>
    <w:rsid w:val="007B28AC"/>
    <w:rsid w:val="007B4259"/>
    <w:rsid w:val="007B48B8"/>
    <w:rsid w:val="007B554C"/>
    <w:rsid w:val="007B6EE7"/>
    <w:rsid w:val="007B7D9F"/>
    <w:rsid w:val="007C002F"/>
    <w:rsid w:val="007C1C21"/>
    <w:rsid w:val="007C2861"/>
    <w:rsid w:val="007C4C6A"/>
    <w:rsid w:val="007C5C2F"/>
    <w:rsid w:val="007C5FB7"/>
    <w:rsid w:val="007D47ED"/>
    <w:rsid w:val="007D55BA"/>
    <w:rsid w:val="007D590A"/>
    <w:rsid w:val="007D6671"/>
    <w:rsid w:val="007D6C7D"/>
    <w:rsid w:val="007D6F84"/>
    <w:rsid w:val="007E150C"/>
    <w:rsid w:val="007E40F2"/>
    <w:rsid w:val="007F103F"/>
    <w:rsid w:val="007F35BB"/>
    <w:rsid w:val="007F3AE0"/>
    <w:rsid w:val="007F4A55"/>
    <w:rsid w:val="0080186D"/>
    <w:rsid w:val="00802A86"/>
    <w:rsid w:val="008051A1"/>
    <w:rsid w:val="008067BB"/>
    <w:rsid w:val="00810FE7"/>
    <w:rsid w:val="00812621"/>
    <w:rsid w:val="008131D5"/>
    <w:rsid w:val="008146CD"/>
    <w:rsid w:val="008179FA"/>
    <w:rsid w:val="0082179D"/>
    <w:rsid w:val="008259A6"/>
    <w:rsid w:val="008264B9"/>
    <w:rsid w:val="008270FC"/>
    <w:rsid w:val="00830190"/>
    <w:rsid w:val="00830E54"/>
    <w:rsid w:val="00831020"/>
    <w:rsid w:val="008374E1"/>
    <w:rsid w:val="00844F08"/>
    <w:rsid w:val="008452B7"/>
    <w:rsid w:val="00853343"/>
    <w:rsid w:val="00855796"/>
    <w:rsid w:val="00855C69"/>
    <w:rsid w:val="00860D62"/>
    <w:rsid w:val="0086240E"/>
    <w:rsid w:val="008643B9"/>
    <w:rsid w:val="00865A97"/>
    <w:rsid w:val="00872EB4"/>
    <w:rsid w:val="00873A84"/>
    <w:rsid w:val="00877C20"/>
    <w:rsid w:val="00883FB5"/>
    <w:rsid w:val="00887984"/>
    <w:rsid w:val="00892089"/>
    <w:rsid w:val="0089219D"/>
    <w:rsid w:val="00896788"/>
    <w:rsid w:val="008A02A6"/>
    <w:rsid w:val="008A34F0"/>
    <w:rsid w:val="008A7F2D"/>
    <w:rsid w:val="008B154D"/>
    <w:rsid w:val="008B1900"/>
    <w:rsid w:val="008B1B60"/>
    <w:rsid w:val="008B56D8"/>
    <w:rsid w:val="008B5B8F"/>
    <w:rsid w:val="008C1083"/>
    <w:rsid w:val="008C33B9"/>
    <w:rsid w:val="008C467C"/>
    <w:rsid w:val="008C67D5"/>
    <w:rsid w:val="008C6FFB"/>
    <w:rsid w:val="008C78D4"/>
    <w:rsid w:val="008D5B3F"/>
    <w:rsid w:val="008D6E44"/>
    <w:rsid w:val="008E0039"/>
    <w:rsid w:val="008E1FC3"/>
    <w:rsid w:val="008E28AC"/>
    <w:rsid w:val="008F2267"/>
    <w:rsid w:val="008F6B42"/>
    <w:rsid w:val="008F73E6"/>
    <w:rsid w:val="0090052D"/>
    <w:rsid w:val="00902FA7"/>
    <w:rsid w:val="00903893"/>
    <w:rsid w:val="00912C1F"/>
    <w:rsid w:val="00913750"/>
    <w:rsid w:val="00921110"/>
    <w:rsid w:val="00921141"/>
    <w:rsid w:val="00927355"/>
    <w:rsid w:val="00930338"/>
    <w:rsid w:val="0093350D"/>
    <w:rsid w:val="00940D9C"/>
    <w:rsid w:val="00946C12"/>
    <w:rsid w:val="00952D5B"/>
    <w:rsid w:val="0096464D"/>
    <w:rsid w:val="009662DE"/>
    <w:rsid w:val="00966DA6"/>
    <w:rsid w:val="00967460"/>
    <w:rsid w:val="00972795"/>
    <w:rsid w:val="00972B81"/>
    <w:rsid w:val="00972D91"/>
    <w:rsid w:val="00974425"/>
    <w:rsid w:val="00977A56"/>
    <w:rsid w:val="0098657C"/>
    <w:rsid w:val="0098776C"/>
    <w:rsid w:val="00987868"/>
    <w:rsid w:val="0099030D"/>
    <w:rsid w:val="0099089A"/>
    <w:rsid w:val="00993138"/>
    <w:rsid w:val="009972B4"/>
    <w:rsid w:val="009A11F4"/>
    <w:rsid w:val="009A185C"/>
    <w:rsid w:val="009A21E9"/>
    <w:rsid w:val="009A3401"/>
    <w:rsid w:val="009A513D"/>
    <w:rsid w:val="009B081B"/>
    <w:rsid w:val="009B1303"/>
    <w:rsid w:val="009B4610"/>
    <w:rsid w:val="009B6E34"/>
    <w:rsid w:val="009B7267"/>
    <w:rsid w:val="009C0571"/>
    <w:rsid w:val="009C0793"/>
    <w:rsid w:val="009C2116"/>
    <w:rsid w:val="009C536F"/>
    <w:rsid w:val="009C5936"/>
    <w:rsid w:val="009C6FDD"/>
    <w:rsid w:val="009D0407"/>
    <w:rsid w:val="009D0A8B"/>
    <w:rsid w:val="009D14C4"/>
    <w:rsid w:val="009D23B3"/>
    <w:rsid w:val="009D5BAF"/>
    <w:rsid w:val="009D7B50"/>
    <w:rsid w:val="009E0AA7"/>
    <w:rsid w:val="009E138A"/>
    <w:rsid w:val="009E17A6"/>
    <w:rsid w:val="009E3B0D"/>
    <w:rsid w:val="009E5ACB"/>
    <w:rsid w:val="009E7ACD"/>
    <w:rsid w:val="009E7BD9"/>
    <w:rsid w:val="009F33EA"/>
    <w:rsid w:val="009F351E"/>
    <w:rsid w:val="009F6E54"/>
    <w:rsid w:val="00A05037"/>
    <w:rsid w:val="00A11720"/>
    <w:rsid w:val="00A154C8"/>
    <w:rsid w:val="00A15B64"/>
    <w:rsid w:val="00A16132"/>
    <w:rsid w:val="00A17BDF"/>
    <w:rsid w:val="00A20EEC"/>
    <w:rsid w:val="00A21547"/>
    <w:rsid w:val="00A227DC"/>
    <w:rsid w:val="00A246A4"/>
    <w:rsid w:val="00A32548"/>
    <w:rsid w:val="00A369B6"/>
    <w:rsid w:val="00A42A09"/>
    <w:rsid w:val="00A43264"/>
    <w:rsid w:val="00A459A8"/>
    <w:rsid w:val="00A46521"/>
    <w:rsid w:val="00A46AF9"/>
    <w:rsid w:val="00A5113B"/>
    <w:rsid w:val="00A5497F"/>
    <w:rsid w:val="00A61E77"/>
    <w:rsid w:val="00A62022"/>
    <w:rsid w:val="00A71047"/>
    <w:rsid w:val="00A77C77"/>
    <w:rsid w:val="00A814C8"/>
    <w:rsid w:val="00A831AF"/>
    <w:rsid w:val="00A84003"/>
    <w:rsid w:val="00A87323"/>
    <w:rsid w:val="00A87E03"/>
    <w:rsid w:val="00A93C8F"/>
    <w:rsid w:val="00A950C1"/>
    <w:rsid w:val="00A95286"/>
    <w:rsid w:val="00AA1C9D"/>
    <w:rsid w:val="00AA3913"/>
    <w:rsid w:val="00AA3F25"/>
    <w:rsid w:val="00AA51A9"/>
    <w:rsid w:val="00AA5FA6"/>
    <w:rsid w:val="00AA6538"/>
    <w:rsid w:val="00AA71A6"/>
    <w:rsid w:val="00AB2B6B"/>
    <w:rsid w:val="00AB2EBE"/>
    <w:rsid w:val="00AB2F7F"/>
    <w:rsid w:val="00AC399B"/>
    <w:rsid w:val="00AC3D27"/>
    <w:rsid w:val="00AC61C9"/>
    <w:rsid w:val="00AC6300"/>
    <w:rsid w:val="00AC6F38"/>
    <w:rsid w:val="00AD3129"/>
    <w:rsid w:val="00AD4B61"/>
    <w:rsid w:val="00AD6812"/>
    <w:rsid w:val="00AD6A8B"/>
    <w:rsid w:val="00AE53AD"/>
    <w:rsid w:val="00AE7564"/>
    <w:rsid w:val="00AF0560"/>
    <w:rsid w:val="00B01EF2"/>
    <w:rsid w:val="00B032FD"/>
    <w:rsid w:val="00B047A0"/>
    <w:rsid w:val="00B10F48"/>
    <w:rsid w:val="00B12C89"/>
    <w:rsid w:val="00B15E0A"/>
    <w:rsid w:val="00B21887"/>
    <w:rsid w:val="00B253FA"/>
    <w:rsid w:val="00B25711"/>
    <w:rsid w:val="00B25E8E"/>
    <w:rsid w:val="00B26349"/>
    <w:rsid w:val="00B273C9"/>
    <w:rsid w:val="00B3180F"/>
    <w:rsid w:val="00B32CE6"/>
    <w:rsid w:val="00B32E24"/>
    <w:rsid w:val="00B35F02"/>
    <w:rsid w:val="00B40444"/>
    <w:rsid w:val="00B408EC"/>
    <w:rsid w:val="00B40FBF"/>
    <w:rsid w:val="00B421BA"/>
    <w:rsid w:val="00B43265"/>
    <w:rsid w:val="00B43871"/>
    <w:rsid w:val="00B45443"/>
    <w:rsid w:val="00B51722"/>
    <w:rsid w:val="00B565C6"/>
    <w:rsid w:val="00B6126D"/>
    <w:rsid w:val="00B61FFA"/>
    <w:rsid w:val="00B65F05"/>
    <w:rsid w:val="00B66201"/>
    <w:rsid w:val="00B72EBB"/>
    <w:rsid w:val="00B75603"/>
    <w:rsid w:val="00B8131D"/>
    <w:rsid w:val="00B81484"/>
    <w:rsid w:val="00B81DB2"/>
    <w:rsid w:val="00B83EC0"/>
    <w:rsid w:val="00B86DAE"/>
    <w:rsid w:val="00B90250"/>
    <w:rsid w:val="00B920FF"/>
    <w:rsid w:val="00B9414A"/>
    <w:rsid w:val="00B949D3"/>
    <w:rsid w:val="00B9533E"/>
    <w:rsid w:val="00BA1D31"/>
    <w:rsid w:val="00BA1D4E"/>
    <w:rsid w:val="00BA236F"/>
    <w:rsid w:val="00BA294A"/>
    <w:rsid w:val="00BA2F9D"/>
    <w:rsid w:val="00BA3C88"/>
    <w:rsid w:val="00BA4034"/>
    <w:rsid w:val="00BA6BE8"/>
    <w:rsid w:val="00BB36F7"/>
    <w:rsid w:val="00BB3755"/>
    <w:rsid w:val="00BB4163"/>
    <w:rsid w:val="00BB50AC"/>
    <w:rsid w:val="00BB5B60"/>
    <w:rsid w:val="00BC13D3"/>
    <w:rsid w:val="00BC2AC1"/>
    <w:rsid w:val="00BC3D4E"/>
    <w:rsid w:val="00BC5DA1"/>
    <w:rsid w:val="00BC6029"/>
    <w:rsid w:val="00BC667C"/>
    <w:rsid w:val="00BC715B"/>
    <w:rsid w:val="00BD266F"/>
    <w:rsid w:val="00BD5914"/>
    <w:rsid w:val="00BE39C2"/>
    <w:rsid w:val="00BE553B"/>
    <w:rsid w:val="00BE6457"/>
    <w:rsid w:val="00BF08BF"/>
    <w:rsid w:val="00BF6180"/>
    <w:rsid w:val="00C01CD8"/>
    <w:rsid w:val="00C11DA4"/>
    <w:rsid w:val="00C1691E"/>
    <w:rsid w:val="00C218EE"/>
    <w:rsid w:val="00C24BBC"/>
    <w:rsid w:val="00C263E6"/>
    <w:rsid w:val="00C331E2"/>
    <w:rsid w:val="00C35CF7"/>
    <w:rsid w:val="00C360AF"/>
    <w:rsid w:val="00C374A6"/>
    <w:rsid w:val="00C41AB0"/>
    <w:rsid w:val="00C43870"/>
    <w:rsid w:val="00C44B55"/>
    <w:rsid w:val="00C5096E"/>
    <w:rsid w:val="00C525C7"/>
    <w:rsid w:val="00C54627"/>
    <w:rsid w:val="00C54D9D"/>
    <w:rsid w:val="00C71FED"/>
    <w:rsid w:val="00C732AF"/>
    <w:rsid w:val="00C86F51"/>
    <w:rsid w:val="00C941CE"/>
    <w:rsid w:val="00C94D29"/>
    <w:rsid w:val="00C95B7B"/>
    <w:rsid w:val="00C96947"/>
    <w:rsid w:val="00CA5165"/>
    <w:rsid w:val="00CA67A1"/>
    <w:rsid w:val="00CA7975"/>
    <w:rsid w:val="00CA7D5A"/>
    <w:rsid w:val="00CB2437"/>
    <w:rsid w:val="00CB33C6"/>
    <w:rsid w:val="00CB5F00"/>
    <w:rsid w:val="00CB5F22"/>
    <w:rsid w:val="00CB67F7"/>
    <w:rsid w:val="00CC3A5C"/>
    <w:rsid w:val="00CC4B6F"/>
    <w:rsid w:val="00CC4C70"/>
    <w:rsid w:val="00CD25FE"/>
    <w:rsid w:val="00CD2762"/>
    <w:rsid w:val="00CD4ADF"/>
    <w:rsid w:val="00CD4CB3"/>
    <w:rsid w:val="00CE0777"/>
    <w:rsid w:val="00CE15C6"/>
    <w:rsid w:val="00CE624B"/>
    <w:rsid w:val="00CF4FC1"/>
    <w:rsid w:val="00D00760"/>
    <w:rsid w:val="00D02030"/>
    <w:rsid w:val="00D1147A"/>
    <w:rsid w:val="00D12DD1"/>
    <w:rsid w:val="00D1356E"/>
    <w:rsid w:val="00D153BF"/>
    <w:rsid w:val="00D15B3D"/>
    <w:rsid w:val="00D161F3"/>
    <w:rsid w:val="00D16383"/>
    <w:rsid w:val="00D16B20"/>
    <w:rsid w:val="00D17842"/>
    <w:rsid w:val="00D23804"/>
    <w:rsid w:val="00D30BDC"/>
    <w:rsid w:val="00D3201A"/>
    <w:rsid w:val="00D32178"/>
    <w:rsid w:val="00D3248A"/>
    <w:rsid w:val="00D32624"/>
    <w:rsid w:val="00D40066"/>
    <w:rsid w:val="00D4397A"/>
    <w:rsid w:val="00D43D14"/>
    <w:rsid w:val="00D445DF"/>
    <w:rsid w:val="00D45D66"/>
    <w:rsid w:val="00D475A2"/>
    <w:rsid w:val="00D47892"/>
    <w:rsid w:val="00D50FBD"/>
    <w:rsid w:val="00D51667"/>
    <w:rsid w:val="00D5682C"/>
    <w:rsid w:val="00D57E3F"/>
    <w:rsid w:val="00D64809"/>
    <w:rsid w:val="00D74129"/>
    <w:rsid w:val="00D74E78"/>
    <w:rsid w:val="00D75318"/>
    <w:rsid w:val="00D77A90"/>
    <w:rsid w:val="00D80DFB"/>
    <w:rsid w:val="00D810A2"/>
    <w:rsid w:val="00D82592"/>
    <w:rsid w:val="00DA107D"/>
    <w:rsid w:val="00DA1984"/>
    <w:rsid w:val="00DA1A6F"/>
    <w:rsid w:val="00DA2365"/>
    <w:rsid w:val="00DA3B5B"/>
    <w:rsid w:val="00DB4246"/>
    <w:rsid w:val="00DB4B9B"/>
    <w:rsid w:val="00DB78A7"/>
    <w:rsid w:val="00DC4060"/>
    <w:rsid w:val="00DC6181"/>
    <w:rsid w:val="00DD0367"/>
    <w:rsid w:val="00DE3576"/>
    <w:rsid w:val="00DE394A"/>
    <w:rsid w:val="00DE42E3"/>
    <w:rsid w:val="00DE4E43"/>
    <w:rsid w:val="00DE6CCE"/>
    <w:rsid w:val="00DE7BF6"/>
    <w:rsid w:val="00DF235F"/>
    <w:rsid w:val="00DF45EF"/>
    <w:rsid w:val="00E056A8"/>
    <w:rsid w:val="00E10806"/>
    <w:rsid w:val="00E12646"/>
    <w:rsid w:val="00E14143"/>
    <w:rsid w:val="00E16A0D"/>
    <w:rsid w:val="00E23EFE"/>
    <w:rsid w:val="00E241BF"/>
    <w:rsid w:val="00E24ADB"/>
    <w:rsid w:val="00E3200C"/>
    <w:rsid w:val="00E339EC"/>
    <w:rsid w:val="00E3447F"/>
    <w:rsid w:val="00E34484"/>
    <w:rsid w:val="00E3627C"/>
    <w:rsid w:val="00E377E0"/>
    <w:rsid w:val="00E40B5B"/>
    <w:rsid w:val="00E4103E"/>
    <w:rsid w:val="00E432BC"/>
    <w:rsid w:val="00E46C0C"/>
    <w:rsid w:val="00E53678"/>
    <w:rsid w:val="00E5511F"/>
    <w:rsid w:val="00E5551C"/>
    <w:rsid w:val="00E5678F"/>
    <w:rsid w:val="00E56F47"/>
    <w:rsid w:val="00E65D76"/>
    <w:rsid w:val="00E665D9"/>
    <w:rsid w:val="00E67AD2"/>
    <w:rsid w:val="00E70144"/>
    <w:rsid w:val="00E7090A"/>
    <w:rsid w:val="00E84090"/>
    <w:rsid w:val="00E90330"/>
    <w:rsid w:val="00E91177"/>
    <w:rsid w:val="00E95757"/>
    <w:rsid w:val="00E96048"/>
    <w:rsid w:val="00EA0019"/>
    <w:rsid w:val="00EA1C93"/>
    <w:rsid w:val="00EA1FAB"/>
    <w:rsid w:val="00EA3873"/>
    <w:rsid w:val="00EA3E30"/>
    <w:rsid w:val="00EA4B07"/>
    <w:rsid w:val="00EA669E"/>
    <w:rsid w:val="00EB2A1F"/>
    <w:rsid w:val="00EB49FF"/>
    <w:rsid w:val="00EC21B8"/>
    <w:rsid w:val="00EC331E"/>
    <w:rsid w:val="00EC5BA3"/>
    <w:rsid w:val="00EC5D03"/>
    <w:rsid w:val="00EC76D8"/>
    <w:rsid w:val="00ED3AF2"/>
    <w:rsid w:val="00ED4E8E"/>
    <w:rsid w:val="00ED6BAC"/>
    <w:rsid w:val="00EE08A5"/>
    <w:rsid w:val="00EE0C46"/>
    <w:rsid w:val="00EF1446"/>
    <w:rsid w:val="00EF63BD"/>
    <w:rsid w:val="00F00127"/>
    <w:rsid w:val="00F01005"/>
    <w:rsid w:val="00F035AA"/>
    <w:rsid w:val="00F06EF5"/>
    <w:rsid w:val="00F122F9"/>
    <w:rsid w:val="00F16DFE"/>
    <w:rsid w:val="00F2114C"/>
    <w:rsid w:val="00F2149B"/>
    <w:rsid w:val="00F2538D"/>
    <w:rsid w:val="00F26FD5"/>
    <w:rsid w:val="00F27128"/>
    <w:rsid w:val="00F27C06"/>
    <w:rsid w:val="00F32CFD"/>
    <w:rsid w:val="00F35A48"/>
    <w:rsid w:val="00F36295"/>
    <w:rsid w:val="00F37BD5"/>
    <w:rsid w:val="00F46F0E"/>
    <w:rsid w:val="00F47DAE"/>
    <w:rsid w:val="00F5137D"/>
    <w:rsid w:val="00F521F5"/>
    <w:rsid w:val="00F52AE4"/>
    <w:rsid w:val="00F558C5"/>
    <w:rsid w:val="00F568D7"/>
    <w:rsid w:val="00F61AFC"/>
    <w:rsid w:val="00F6376B"/>
    <w:rsid w:val="00F63E16"/>
    <w:rsid w:val="00F65D08"/>
    <w:rsid w:val="00F6761A"/>
    <w:rsid w:val="00F70F8F"/>
    <w:rsid w:val="00F81454"/>
    <w:rsid w:val="00F81EE4"/>
    <w:rsid w:val="00F83D2D"/>
    <w:rsid w:val="00F843A2"/>
    <w:rsid w:val="00F84F7F"/>
    <w:rsid w:val="00F86235"/>
    <w:rsid w:val="00F91560"/>
    <w:rsid w:val="00F93A2B"/>
    <w:rsid w:val="00FA0B31"/>
    <w:rsid w:val="00FA4FB2"/>
    <w:rsid w:val="00FA5BFC"/>
    <w:rsid w:val="00FB0118"/>
    <w:rsid w:val="00FB05E0"/>
    <w:rsid w:val="00FB0D26"/>
    <w:rsid w:val="00FB35B0"/>
    <w:rsid w:val="00FB69E1"/>
    <w:rsid w:val="00FB71F4"/>
    <w:rsid w:val="00FC3B0C"/>
    <w:rsid w:val="00FC7EFE"/>
    <w:rsid w:val="00FD0F93"/>
    <w:rsid w:val="00FD18E9"/>
    <w:rsid w:val="00FD3EED"/>
    <w:rsid w:val="00FD4D24"/>
    <w:rsid w:val="00FD74CC"/>
    <w:rsid w:val="00FE3FC6"/>
    <w:rsid w:val="00FF0439"/>
    <w:rsid w:val="00FF1580"/>
    <w:rsid w:val="00FF2EDC"/>
    <w:rsid w:val="00FF54D6"/>
    <w:rsid w:val="00FF705E"/>
    <w:rsid w:val="02F04899"/>
    <w:rsid w:val="098B0CBC"/>
    <w:rsid w:val="180608FF"/>
    <w:rsid w:val="47C85A9B"/>
    <w:rsid w:val="5EF947CB"/>
    <w:rsid w:val="69263136"/>
    <w:rsid w:val="6C14536A"/>
    <w:rsid w:val="6EB71CEB"/>
    <w:rsid w:val="711F0F93"/>
    <w:rsid w:val="7FD224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1"/>
    <w:semiHidden/>
    <w:unhideWhenUsed/>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uiPriority w:val="99"/>
    <w:rPr>
      <w:sz w:val="18"/>
      <w:szCs w:val="18"/>
    </w:rPr>
  </w:style>
  <w:style w:type="paragraph" w:styleId="9">
    <w:name w:val="List Paragraph"/>
    <w:basedOn w:val="1"/>
    <w:qFormat/>
    <w:uiPriority w:val="34"/>
    <w:pPr>
      <w:ind w:firstLine="420" w:firstLineChars="200"/>
    </w:pPr>
  </w:style>
  <w:style w:type="paragraph" w:customStyle="1" w:styleId="10">
    <w:name w:val="段"/>
    <w:link w:val="12"/>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1">
    <w:name w:val="批注框文本 字符"/>
    <w:basedOn w:val="6"/>
    <w:link w:val="2"/>
    <w:semiHidden/>
    <w:qFormat/>
    <w:uiPriority w:val="99"/>
    <w:rPr>
      <w:kern w:val="2"/>
      <w:sz w:val="18"/>
      <w:szCs w:val="18"/>
    </w:rPr>
  </w:style>
  <w:style w:type="character" w:customStyle="1" w:styleId="12">
    <w:name w:val="段 Char"/>
    <w:link w:val="10"/>
    <w:qFormat/>
    <w:uiPriority w:val="0"/>
    <w:rPr>
      <w:rFonts w:ascii="宋体" w:hAnsi="Times New Roman" w:eastAsia="宋体" w:cs="Times New Roman"/>
      <w:sz w:val="21"/>
    </w:rPr>
  </w:style>
  <w:style w:type="paragraph" w:customStyle="1" w:styleId="13">
    <w:name w:val="Table Paragraph"/>
    <w:basedOn w:val="1"/>
    <w:qFormat/>
    <w:uiPriority w:val="1"/>
    <w:pPr>
      <w:autoSpaceDE w:val="0"/>
      <w:autoSpaceDN w:val="0"/>
      <w:jc w:val="left"/>
    </w:pPr>
    <w:rPr>
      <w:rFonts w:ascii="PMingLiU" w:hAnsi="PMingLiU" w:eastAsia="PMingLiU" w:cs="PMingLiU"/>
      <w:kern w:val="0"/>
      <w:sz w:val="22"/>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长沙市标准化协会</Company>
  <Pages>16</Pages>
  <Words>1198</Words>
  <Characters>6831</Characters>
  <Lines>56</Lines>
  <Paragraphs>16</Paragraphs>
  <TotalTime>8</TotalTime>
  <ScaleCrop>false</ScaleCrop>
  <LinksUpToDate>false</LinksUpToDate>
  <CharactersWithSpaces>8013</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2022-05-17T00:39:00Z</dcterms:created>
  <dc:creator>Administrator</dc:creator>
  <cp:lastModifiedBy>bylxb</cp:lastModifiedBy>
  <dcterms:modified xsi:type="dcterms:W3CDTF">2024-04-29T01:35:44Z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C0F0D1C5B3EF416EB186D6314B8E74C7</vt:lpwstr>
  </property>
</Properties>
</file>